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C1D7" w14:textId="77777777" w:rsidR="00323581" w:rsidRDefault="00323581">
      <w:pPr>
        <w:spacing w:line="560" w:lineRule="exact"/>
        <w:jc w:val="center"/>
        <w:rPr>
          <w:rFonts w:ascii="Times New Roman" w:eastAsia="华文中宋" w:hAnsi="Times New Roman" w:cs="Times New Roman"/>
          <w:b/>
          <w:sz w:val="44"/>
          <w:szCs w:val="44"/>
        </w:rPr>
      </w:pPr>
    </w:p>
    <w:p w14:paraId="04C72642" w14:textId="77777777" w:rsidR="00323581" w:rsidRDefault="00323581">
      <w:pPr>
        <w:spacing w:line="560" w:lineRule="exact"/>
        <w:jc w:val="center"/>
        <w:rPr>
          <w:rFonts w:ascii="Times New Roman" w:eastAsia="华文中宋" w:hAnsi="Times New Roman" w:cs="Times New Roman"/>
          <w:b/>
          <w:sz w:val="44"/>
          <w:szCs w:val="44"/>
        </w:rPr>
      </w:pPr>
    </w:p>
    <w:p w14:paraId="67135A96" w14:textId="77777777" w:rsidR="00323581" w:rsidRDefault="00323581">
      <w:pPr>
        <w:spacing w:line="560" w:lineRule="exact"/>
        <w:jc w:val="center"/>
        <w:rPr>
          <w:rFonts w:ascii="Times New Roman" w:eastAsia="华文中宋" w:hAnsi="Times New Roman" w:cs="Times New Roman"/>
          <w:b/>
          <w:sz w:val="44"/>
          <w:szCs w:val="44"/>
        </w:rPr>
      </w:pPr>
    </w:p>
    <w:p w14:paraId="6C871790" w14:textId="77777777" w:rsidR="00323581" w:rsidRDefault="00323581">
      <w:pPr>
        <w:spacing w:line="560" w:lineRule="exact"/>
        <w:jc w:val="center"/>
        <w:rPr>
          <w:rFonts w:ascii="Times New Roman" w:eastAsia="华文中宋" w:hAnsi="Times New Roman" w:cs="Times New Roman"/>
          <w:b/>
          <w:sz w:val="44"/>
          <w:szCs w:val="44"/>
        </w:rPr>
      </w:pPr>
    </w:p>
    <w:p w14:paraId="159FDECF" w14:textId="77777777" w:rsidR="00323581" w:rsidRDefault="00323581">
      <w:pPr>
        <w:spacing w:line="560" w:lineRule="exact"/>
        <w:jc w:val="center"/>
        <w:rPr>
          <w:rFonts w:ascii="Times New Roman" w:eastAsia="华文中宋" w:hAnsi="Times New Roman" w:cs="Times New Roman"/>
          <w:b/>
          <w:sz w:val="44"/>
          <w:szCs w:val="44"/>
        </w:rPr>
      </w:pPr>
    </w:p>
    <w:p w14:paraId="31336977" w14:textId="77777777" w:rsidR="00323581" w:rsidRDefault="00000000">
      <w:pPr>
        <w:spacing w:line="560" w:lineRule="exact"/>
        <w:jc w:val="center"/>
        <w:rPr>
          <w:rFonts w:ascii="Times New Roman" w:eastAsia="黑体" w:hAnsi="Times New Roman" w:cs="Times New Roman"/>
          <w:bCs/>
          <w:sz w:val="36"/>
          <w:szCs w:val="36"/>
        </w:rPr>
      </w:pPr>
      <w:r>
        <w:rPr>
          <w:rFonts w:ascii="Times New Roman" w:eastAsia="黑体" w:hAnsi="Times New Roman" w:cs="Times New Roman"/>
          <w:bCs/>
          <w:sz w:val="36"/>
          <w:szCs w:val="36"/>
        </w:rPr>
        <w:t>湖北省地方计量技术规范</w:t>
      </w:r>
    </w:p>
    <w:p w14:paraId="1C61D1E6" w14:textId="77777777" w:rsidR="00323581" w:rsidRDefault="00000000">
      <w:pPr>
        <w:spacing w:line="560" w:lineRule="exact"/>
        <w:jc w:val="center"/>
        <w:rPr>
          <w:rFonts w:ascii="Times New Roman" w:eastAsia="黑体" w:hAnsi="Times New Roman" w:cs="Times New Roman"/>
          <w:bCs/>
          <w:sz w:val="36"/>
          <w:szCs w:val="36"/>
        </w:rPr>
      </w:pPr>
      <w:r>
        <w:rPr>
          <w:rFonts w:ascii="Times New Roman" w:eastAsia="黑体" w:hAnsi="Times New Roman" w:cs="Times New Roman"/>
          <w:bCs/>
          <w:sz w:val="36"/>
          <w:szCs w:val="36"/>
        </w:rPr>
        <w:t>《内陆淡水湿地碳汇计量规程》</w:t>
      </w:r>
    </w:p>
    <w:p w14:paraId="6FBE2BF5" w14:textId="77777777" w:rsidR="00323581" w:rsidRDefault="00323581">
      <w:pPr>
        <w:rPr>
          <w:rFonts w:ascii="Times New Roman" w:eastAsia="黑体" w:hAnsi="Times New Roman" w:cs="Times New Roman"/>
          <w:bCs/>
        </w:rPr>
      </w:pPr>
    </w:p>
    <w:p w14:paraId="6DA95A2D" w14:textId="77777777" w:rsidR="00323581" w:rsidRDefault="00323581">
      <w:pPr>
        <w:rPr>
          <w:rFonts w:ascii="Times New Roman" w:eastAsia="黑体" w:hAnsi="Times New Roman" w:cs="Times New Roman"/>
          <w:bCs/>
        </w:rPr>
      </w:pPr>
    </w:p>
    <w:p w14:paraId="14F55A13" w14:textId="77777777" w:rsidR="00323581" w:rsidRDefault="00323581">
      <w:pPr>
        <w:rPr>
          <w:rFonts w:ascii="Times New Roman" w:eastAsia="黑体" w:hAnsi="Times New Roman" w:cs="Times New Roman"/>
          <w:bCs/>
          <w:sz w:val="84"/>
          <w:szCs w:val="84"/>
        </w:rPr>
      </w:pPr>
    </w:p>
    <w:p w14:paraId="238D49C5" w14:textId="77777777" w:rsidR="00323581" w:rsidRDefault="00000000">
      <w:pPr>
        <w:jc w:val="center"/>
        <w:rPr>
          <w:rFonts w:ascii="Times New Roman" w:eastAsia="黑体" w:hAnsi="Times New Roman" w:cs="Times New Roman"/>
          <w:bCs/>
          <w:sz w:val="84"/>
          <w:szCs w:val="84"/>
        </w:rPr>
      </w:pPr>
      <w:r>
        <w:rPr>
          <w:rFonts w:ascii="Times New Roman" w:eastAsia="黑体" w:hAnsi="Times New Roman" w:cs="Times New Roman"/>
          <w:b/>
          <w:spacing w:val="68"/>
          <w:sz w:val="84"/>
          <w:szCs w:val="84"/>
        </w:rPr>
        <w:t>编制说明</w:t>
      </w:r>
    </w:p>
    <w:p w14:paraId="7E53CD40" w14:textId="77777777" w:rsidR="00323581" w:rsidRDefault="00323581">
      <w:pPr>
        <w:rPr>
          <w:rFonts w:ascii="Times New Roman" w:hAnsi="Times New Roman" w:cs="Times New Roman"/>
        </w:rPr>
      </w:pPr>
    </w:p>
    <w:p w14:paraId="6FF6036A" w14:textId="77777777" w:rsidR="00323581" w:rsidRDefault="00323581">
      <w:pPr>
        <w:rPr>
          <w:rFonts w:ascii="Times New Roman" w:hAnsi="Times New Roman" w:cs="Times New Roman"/>
        </w:rPr>
      </w:pPr>
    </w:p>
    <w:p w14:paraId="4BEDDA64" w14:textId="77777777" w:rsidR="00323581" w:rsidRDefault="00323581">
      <w:pPr>
        <w:rPr>
          <w:rFonts w:ascii="Times New Roman" w:hAnsi="Times New Roman" w:cs="Times New Roman"/>
        </w:rPr>
      </w:pPr>
    </w:p>
    <w:p w14:paraId="7EE002EB" w14:textId="77777777" w:rsidR="00323581" w:rsidRDefault="00323581">
      <w:pPr>
        <w:rPr>
          <w:rFonts w:ascii="Times New Roman" w:hAnsi="Times New Roman" w:cs="Times New Roman"/>
        </w:rPr>
      </w:pPr>
    </w:p>
    <w:p w14:paraId="72DCF458" w14:textId="77777777" w:rsidR="00323581" w:rsidRDefault="00323581">
      <w:pPr>
        <w:rPr>
          <w:rFonts w:ascii="Times New Roman" w:hAnsi="Times New Roman" w:cs="Times New Roman"/>
        </w:rPr>
      </w:pPr>
    </w:p>
    <w:p w14:paraId="2196C14B" w14:textId="77777777" w:rsidR="00323581" w:rsidRDefault="00323581">
      <w:pPr>
        <w:rPr>
          <w:rFonts w:ascii="Times New Roman" w:hAnsi="Times New Roman" w:cs="Times New Roman"/>
        </w:rPr>
      </w:pPr>
    </w:p>
    <w:p w14:paraId="2F820E53" w14:textId="77777777" w:rsidR="00323581" w:rsidRDefault="00323581">
      <w:pPr>
        <w:rPr>
          <w:rFonts w:ascii="Times New Roman" w:hAnsi="Times New Roman" w:cs="Times New Roman"/>
        </w:rPr>
      </w:pPr>
    </w:p>
    <w:p w14:paraId="2B6C42D9" w14:textId="77777777" w:rsidR="00323581" w:rsidRDefault="00323581">
      <w:pPr>
        <w:rPr>
          <w:rFonts w:ascii="Times New Roman" w:hAnsi="Times New Roman" w:cs="Times New Roman"/>
        </w:rPr>
      </w:pPr>
    </w:p>
    <w:p w14:paraId="734D3740" w14:textId="77777777" w:rsidR="00323581" w:rsidRDefault="00323581">
      <w:pPr>
        <w:rPr>
          <w:rFonts w:ascii="Times New Roman" w:hAnsi="Times New Roman" w:cs="Times New Roman"/>
        </w:rPr>
      </w:pPr>
    </w:p>
    <w:p w14:paraId="744D89D5" w14:textId="77777777" w:rsidR="00323581" w:rsidRDefault="00323581">
      <w:pPr>
        <w:rPr>
          <w:rFonts w:ascii="Times New Roman" w:hAnsi="Times New Roman" w:cs="Times New Roman"/>
        </w:rPr>
      </w:pPr>
    </w:p>
    <w:p w14:paraId="5DADACAF" w14:textId="77777777" w:rsidR="00323581" w:rsidRDefault="00323581">
      <w:pPr>
        <w:rPr>
          <w:rFonts w:ascii="Times New Roman" w:hAnsi="Times New Roman" w:cs="Times New Roman"/>
        </w:rPr>
      </w:pPr>
    </w:p>
    <w:p w14:paraId="6AC69C99" w14:textId="77777777" w:rsidR="00323581" w:rsidRDefault="00323581">
      <w:pPr>
        <w:rPr>
          <w:rFonts w:ascii="Times New Roman" w:hAnsi="Times New Roman" w:cs="Times New Roman"/>
        </w:rPr>
      </w:pPr>
    </w:p>
    <w:p w14:paraId="6072906B" w14:textId="77777777" w:rsidR="00323581" w:rsidRDefault="00323581">
      <w:pPr>
        <w:rPr>
          <w:rFonts w:ascii="Times New Roman" w:hAnsi="Times New Roman" w:cs="Times New Roman"/>
        </w:rPr>
      </w:pPr>
    </w:p>
    <w:p w14:paraId="261B3602" w14:textId="77777777" w:rsidR="00323581" w:rsidRDefault="00323581">
      <w:pPr>
        <w:rPr>
          <w:rFonts w:ascii="Times New Roman" w:hAnsi="Times New Roman" w:cs="Times New Roman"/>
        </w:rPr>
      </w:pPr>
    </w:p>
    <w:p w14:paraId="7CF3BC18" w14:textId="77777777" w:rsidR="00323581" w:rsidRDefault="00323581">
      <w:pPr>
        <w:rPr>
          <w:rFonts w:ascii="Times New Roman" w:hAnsi="Times New Roman" w:cs="Times New Roman"/>
        </w:rPr>
      </w:pPr>
    </w:p>
    <w:p w14:paraId="2D83EEF7" w14:textId="77777777" w:rsidR="00323581" w:rsidRDefault="00323581">
      <w:pPr>
        <w:jc w:val="center"/>
        <w:rPr>
          <w:rFonts w:ascii="Times New Roman" w:hAnsi="Times New Roman" w:cs="Times New Roman"/>
          <w:sz w:val="30"/>
          <w:szCs w:val="30"/>
        </w:rPr>
      </w:pPr>
    </w:p>
    <w:p w14:paraId="39733227" w14:textId="77777777" w:rsidR="00323581" w:rsidRDefault="00000000">
      <w:pPr>
        <w:jc w:val="center"/>
        <w:rPr>
          <w:rFonts w:ascii="Times New Roman" w:hAnsi="Times New Roman" w:cs="Times New Roman"/>
          <w:sz w:val="30"/>
          <w:szCs w:val="30"/>
        </w:rPr>
      </w:pPr>
      <w:r>
        <w:rPr>
          <w:rFonts w:ascii="Times New Roman" w:hAnsi="Times New Roman" w:cs="Times New Roman"/>
          <w:sz w:val="30"/>
          <w:szCs w:val="30"/>
        </w:rPr>
        <w:t>2025</w:t>
      </w:r>
      <w:r>
        <w:rPr>
          <w:rFonts w:ascii="Times New Roman" w:hAnsi="Times New Roman" w:cs="Times New Roman"/>
          <w:sz w:val="30"/>
          <w:szCs w:val="30"/>
        </w:rPr>
        <w:t>年</w:t>
      </w:r>
      <w:r>
        <w:rPr>
          <w:rFonts w:ascii="Times New Roman" w:hAnsi="Times New Roman" w:cs="Times New Roman"/>
          <w:sz w:val="30"/>
          <w:szCs w:val="30"/>
        </w:rPr>
        <w:t>12</w:t>
      </w:r>
      <w:r>
        <w:rPr>
          <w:rFonts w:ascii="Times New Roman" w:hAnsi="Times New Roman" w:cs="Times New Roman"/>
          <w:sz w:val="30"/>
          <w:szCs w:val="30"/>
        </w:rPr>
        <w:t>月</w:t>
      </w:r>
    </w:p>
    <w:p w14:paraId="1357D365" w14:textId="77777777" w:rsidR="00323581" w:rsidRDefault="00323581">
      <w:pPr>
        <w:spacing w:line="560" w:lineRule="exact"/>
        <w:rPr>
          <w:rFonts w:ascii="Times New Roman" w:eastAsia="黑体" w:hAnsi="Times New Roman" w:cs="Times New Roman"/>
          <w:bCs/>
          <w:sz w:val="32"/>
          <w:szCs w:val="32"/>
        </w:rPr>
      </w:pPr>
    </w:p>
    <w:p w14:paraId="2B557946" w14:textId="77777777" w:rsidR="00323581" w:rsidRDefault="00323581">
      <w:pPr>
        <w:spacing w:line="560" w:lineRule="exact"/>
        <w:jc w:val="center"/>
        <w:rPr>
          <w:rFonts w:ascii="Times New Roman" w:eastAsia="黑体" w:hAnsi="Times New Roman" w:cs="Times New Roman"/>
          <w:bCs/>
          <w:sz w:val="32"/>
          <w:szCs w:val="32"/>
        </w:rPr>
        <w:sectPr w:rsidR="00323581">
          <w:pgSz w:w="11906" w:h="16838"/>
          <w:pgMar w:top="1440" w:right="1800" w:bottom="1440" w:left="1800" w:header="851" w:footer="992" w:gutter="0"/>
          <w:cols w:space="425"/>
          <w:docGrid w:type="lines" w:linePitch="312"/>
        </w:sectPr>
      </w:pPr>
    </w:p>
    <w:p w14:paraId="091A3306" w14:textId="77777777" w:rsidR="00323581" w:rsidRDefault="00000000">
      <w:pPr>
        <w:spacing w:line="56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《内陆淡水湿地碳汇计量规程》编制说明</w:t>
      </w:r>
    </w:p>
    <w:p w14:paraId="4D241052" w14:textId="77777777" w:rsidR="00323581" w:rsidRDefault="00323581">
      <w:pPr>
        <w:spacing w:line="560" w:lineRule="exact"/>
        <w:jc w:val="center"/>
        <w:rPr>
          <w:rFonts w:ascii="Times New Roman" w:eastAsia="黑体" w:hAnsi="Times New Roman" w:cs="Times New Roman"/>
          <w:bCs/>
          <w:sz w:val="32"/>
          <w:szCs w:val="32"/>
        </w:rPr>
      </w:pPr>
    </w:p>
    <w:p w14:paraId="74B9C0BC" w14:textId="77777777" w:rsidR="00323581" w:rsidRDefault="00000000">
      <w:pPr>
        <w:numPr>
          <w:ilvl w:val="0"/>
          <w:numId w:val="1"/>
        </w:numPr>
        <w:jc w:val="left"/>
        <w:outlineLvl w:val="0"/>
        <w:rPr>
          <w:rFonts w:ascii="Times New Roman" w:eastAsia="黑体" w:hAnsi="Times New Roman" w:cs="Times New Roman"/>
          <w:sz w:val="28"/>
          <w:szCs w:val="28"/>
        </w:rPr>
      </w:pPr>
      <w:r>
        <w:rPr>
          <w:rFonts w:ascii="Times New Roman" w:eastAsia="黑体" w:hAnsi="Times New Roman" w:cs="Times New Roman"/>
          <w:sz w:val="28"/>
          <w:szCs w:val="28"/>
        </w:rPr>
        <w:t>任务来源</w:t>
      </w:r>
    </w:p>
    <w:p w14:paraId="214BB6C7" w14:textId="77777777" w:rsidR="00323581"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根据《省市场监管局关于开展</w:t>
      </w:r>
      <w:r>
        <w:rPr>
          <w:rFonts w:ascii="Times New Roman" w:eastAsia="仿宋_GB2312" w:hAnsi="Times New Roman" w:cs="Times New Roman"/>
          <w:smallCaps/>
          <w:sz w:val="28"/>
          <w:szCs w:val="21"/>
        </w:rPr>
        <w:t>2025</w:t>
      </w:r>
      <w:r>
        <w:rPr>
          <w:rFonts w:ascii="Times New Roman" w:eastAsia="仿宋_GB2312" w:hAnsi="Times New Roman" w:cs="Times New Roman"/>
          <w:smallCaps/>
          <w:sz w:val="28"/>
          <w:szCs w:val="21"/>
        </w:rPr>
        <w:t>年度地方计量技术规范制修订工作的通知》（鄂市监量函〔</w:t>
      </w:r>
      <w:r>
        <w:rPr>
          <w:rFonts w:ascii="Times New Roman" w:eastAsia="仿宋_GB2312" w:hAnsi="Times New Roman" w:cs="Times New Roman"/>
          <w:smallCaps/>
          <w:sz w:val="28"/>
          <w:szCs w:val="21"/>
        </w:rPr>
        <w:t>2025</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51</w:t>
      </w:r>
      <w:r>
        <w:rPr>
          <w:rFonts w:ascii="Times New Roman" w:eastAsia="仿宋_GB2312" w:hAnsi="Times New Roman" w:cs="Times New Roman"/>
          <w:smallCaps/>
          <w:sz w:val="28"/>
          <w:szCs w:val="21"/>
        </w:rPr>
        <w:t>号），本规程被列入</w:t>
      </w:r>
      <w:r>
        <w:rPr>
          <w:rFonts w:ascii="Times New Roman" w:eastAsia="仿宋_GB2312" w:hAnsi="Times New Roman" w:cs="Times New Roman"/>
          <w:smallCaps/>
          <w:sz w:val="28"/>
          <w:szCs w:val="21"/>
        </w:rPr>
        <w:t>2025</w:t>
      </w:r>
      <w:r>
        <w:rPr>
          <w:rFonts w:ascii="Times New Roman" w:eastAsia="仿宋_GB2312" w:hAnsi="Times New Roman" w:cs="Times New Roman"/>
          <w:smallCaps/>
          <w:sz w:val="28"/>
          <w:szCs w:val="21"/>
        </w:rPr>
        <w:t>年度湖北省地方计量技术规范制修订计划（序号</w:t>
      </w:r>
      <w:r>
        <w:rPr>
          <w:rFonts w:ascii="Times New Roman" w:eastAsia="仿宋_GB2312" w:hAnsi="Times New Roman" w:cs="Times New Roman"/>
          <w:smallCaps/>
          <w:sz w:val="28"/>
          <w:szCs w:val="21"/>
        </w:rPr>
        <w:t>24</w:t>
      </w:r>
      <w:r>
        <w:rPr>
          <w:rFonts w:ascii="Times New Roman" w:eastAsia="仿宋_GB2312" w:hAnsi="Times New Roman" w:cs="Times New Roman"/>
          <w:smallCaps/>
          <w:sz w:val="28"/>
          <w:szCs w:val="21"/>
        </w:rPr>
        <w:t>）。本规程由武汉市测绘研究院（湖北省自然资源武汉碳计量中心）、中国林业科学研究院林业科技信息研究所等作为主要起草单位承担制定工作。</w:t>
      </w:r>
    </w:p>
    <w:p w14:paraId="0CE0D2C2" w14:textId="77777777" w:rsidR="00323581" w:rsidRDefault="00000000">
      <w:pPr>
        <w:numPr>
          <w:ilvl w:val="0"/>
          <w:numId w:val="1"/>
        </w:numPr>
        <w:jc w:val="left"/>
        <w:outlineLvl w:val="0"/>
        <w:rPr>
          <w:rFonts w:ascii="Times New Roman" w:eastAsia="黑体" w:hAnsi="Times New Roman" w:cs="Times New Roman"/>
          <w:sz w:val="28"/>
          <w:szCs w:val="28"/>
        </w:rPr>
      </w:pPr>
      <w:r>
        <w:rPr>
          <w:rFonts w:ascii="Times New Roman" w:eastAsia="黑体" w:hAnsi="Times New Roman" w:cs="Times New Roman"/>
          <w:sz w:val="28"/>
          <w:szCs w:val="28"/>
        </w:rPr>
        <w:t>编制的必要性</w:t>
      </w:r>
    </w:p>
    <w:p w14:paraId="33E19736"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为贯彻落实</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双碳</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发展目标，</w:t>
      </w:r>
      <w:r>
        <w:rPr>
          <w:rFonts w:ascii="Times New Roman" w:eastAsia="仿宋_GB2312" w:hAnsi="Times New Roman" w:cs="Times New Roman"/>
          <w:smallCaps/>
          <w:sz w:val="28"/>
          <w:szCs w:val="21"/>
        </w:rPr>
        <w:t>2022</w:t>
      </w:r>
      <w:r>
        <w:rPr>
          <w:rFonts w:ascii="Times New Roman" w:eastAsia="仿宋_GB2312" w:hAnsi="Times New Roman" w:cs="Times New Roman"/>
          <w:smallCaps/>
          <w:sz w:val="28"/>
          <w:szCs w:val="21"/>
        </w:rPr>
        <w:t>年，</w:t>
      </w:r>
      <w:bookmarkStart w:id="0" w:name="OLE_LINK1"/>
      <w:r>
        <w:rPr>
          <w:rFonts w:ascii="Times New Roman" w:eastAsia="仿宋_GB2312" w:hAnsi="Times New Roman" w:cs="Times New Roman"/>
          <w:smallCaps/>
          <w:sz w:val="28"/>
          <w:szCs w:val="21"/>
        </w:rPr>
        <w:t>市场监管总局</w:t>
      </w:r>
      <w:bookmarkEnd w:id="0"/>
      <w:r>
        <w:rPr>
          <w:rFonts w:ascii="Times New Roman" w:eastAsia="仿宋_GB2312" w:hAnsi="Times New Roman" w:cs="Times New Roman"/>
          <w:smallCaps/>
          <w:sz w:val="28"/>
          <w:szCs w:val="21"/>
        </w:rPr>
        <w:t>联合国家发展改革委、工业和信息化部、自然资源部、生态环境部、住房城乡建设部、交通运输部、中国气象局和国家林草局印发《建立健全碳达峰碳中和标准计量体系实施方案》（国市监计量发〔</w:t>
      </w:r>
      <w:r>
        <w:rPr>
          <w:rFonts w:ascii="Times New Roman" w:eastAsia="仿宋_GB2312" w:hAnsi="Times New Roman" w:cs="Times New Roman"/>
          <w:smallCaps/>
          <w:sz w:val="28"/>
          <w:szCs w:val="21"/>
        </w:rPr>
        <w:t>2022</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92</w:t>
      </w:r>
      <w:r>
        <w:rPr>
          <w:rFonts w:ascii="Times New Roman" w:eastAsia="仿宋_GB2312" w:hAnsi="Times New Roman" w:cs="Times New Roman"/>
          <w:smallCaps/>
          <w:sz w:val="28"/>
          <w:szCs w:val="21"/>
        </w:rPr>
        <w:t>号），要求加快生态系统固碳和增汇等碳清除技术标准研制。</w:t>
      </w:r>
      <w:r>
        <w:rPr>
          <w:rFonts w:ascii="Times New Roman" w:eastAsia="仿宋_GB2312" w:hAnsi="Times New Roman" w:cs="Times New Roman"/>
          <w:smallCaps/>
          <w:sz w:val="28"/>
          <w:szCs w:val="21"/>
        </w:rPr>
        <w:t>2023</w:t>
      </w:r>
      <w:r>
        <w:rPr>
          <w:rFonts w:ascii="Times New Roman" w:eastAsia="仿宋_GB2312" w:hAnsi="Times New Roman" w:cs="Times New Roman"/>
          <w:smallCaps/>
          <w:sz w:val="28"/>
          <w:szCs w:val="21"/>
        </w:rPr>
        <w:t>年，自然资源部、国家发展改革委、财政部、国家林草局联合印发《生态系统碳汇能力巩固提升实施方案》，提出</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构建生态系统碳汇监测核算体系</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w:t>
      </w:r>
    </w:p>
    <w:p w14:paraId="03C1CAA0"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湿地被誉为</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地球之肾</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，是陆地生态系统中仅次于森林的重要碳库，其碳储量占全球陆地总量的</w:t>
      </w:r>
      <w:r>
        <w:rPr>
          <w:rFonts w:ascii="Times New Roman" w:eastAsia="仿宋_GB2312" w:hAnsi="Times New Roman" w:cs="Times New Roman"/>
          <w:smallCaps/>
          <w:sz w:val="28"/>
          <w:szCs w:val="21"/>
        </w:rPr>
        <w:t>12%-24%</w:t>
      </w:r>
      <w:r>
        <w:rPr>
          <w:rFonts w:ascii="Times New Roman" w:eastAsia="仿宋_GB2312" w:hAnsi="Times New Roman" w:cs="Times New Roman"/>
          <w:smallCaps/>
          <w:sz w:val="28"/>
          <w:szCs w:val="21"/>
        </w:rPr>
        <w:t>，在全球碳循环中发挥至关重要的作用。特别是淡水湿地，其碳储量潜力巨大、空间分布广泛，但碳循环过程复杂、调控因子多变，长期处于碳核算体系的研究空白区。</w:t>
      </w:r>
    </w:p>
    <w:p w14:paraId="37E9ABF7"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lastRenderedPageBreak/>
        <w:t>目前国际上针对湿地碳汇计量的标准主要聚焦于滨海生态系统。例如，世界林业研究中心发布了《红树林结构、生物量和碳储量调查、监测和报告技术规程》。联合国环境规划署等支持的</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蓝碳倡议</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科学工作组发布了《滨海蓝碳：红树林、盐沼和海草床碳储量与排放因子评估方法》，为沿海湿地生态系统碳储量测定提供了国际通用的方法指引。此外，政府间气候变化专门委员会（</w:t>
      </w:r>
      <w:r>
        <w:rPr>
          <w:rFonts w:ascii="Times New Roman" w:eastAsia="仿宋_GB2312" w:hAnsi="Times New Roman" w:cs="Times New Roman"/>
          <w:smallCaps/>
          <w:sz w:val="28"/>
          <w:szCs w:val="21"/>
        </w:rPr>
        <w:t>IPCC</w:t>
      </w:r>
      <w:r>
        <w:rPr>
          <w:rFonts w:ascii="Times New Roman" w:eastAsia="仿宋_GB2312" w:hAnsi="Times New Roman" w:cs="Times New Roman"/>
          <w:smallCaps/>
          <w:sz w:val="28"/>
          <w:szCs w:val="21"/>
        </w:rPr>
        <w:t>）在其《对</w:t>
      </w:r>
      <w:r>
        <w:rPr>
          <w:rFonts w:ascii="Times New Roman" w:eastAsia="仿宋_GB2312" w:hAnsi="Times New Roman" w:cs="Times New Roman"/>
          <w:smallCaps/>
          <w:sz w:val="28"/>
          <w:szCs w:val="21"/>
        </w:rPr>
        <w:t>2006 IPCC</w:t>
      </w:r>
      <w:r>
        <w:rPr>
          <w:rFonts w:ascii="Times New Roman" w:eastAsia="仿宋_GB2312" w:hAnsi="Times New Roman" w:cs="Times New Roman"/>
          <w:smallCaps/>
          <w:sz w:val="28"/>
          <w:szCs w:val="21"/>
        </w:rPr>
        <w:t>国家温室气体清单指南的</w:t>
      </w:r>
      <w:r>
        <w:rPr>
          <w:rFonts w:ascii="Times New Roman" w:eastAsia="仿宋_GB2312" w:hAnsi="Times New Roman" w:cs="Times New Roman"/>
          <w:smallCaps/>
          <w:sz w:val="28"/>
          <w:szCs w:val="21"/>
        </w:rPr>
        <w:t>2013</w:t>
      </w:r>
      <w:r>
        <w:rPr>
          <w:rFonts w:ascii="Times New Roman" w:eastAsia="仿宋_GB2312" w:hAnsi="Times New Roman" w:cs="Times New Roman"/>
          <w:smallCaps/>
          <w:sz w:val="28"/>
          <w:szCs w:val="21"/>
        </w:rPr>
        <w:t>增补</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湿地》中也涵盖了湿地碳汇核算的方法。总体而言，国际领域为滨海湿地（如红树林、盐沼、海草床等）的碳汇计量提供了较为成熟的框架，但针对内陆淡水湿地碳汇计量方法的研究仍较为缺失。</w:t>
      </w:r>
    </w:p>
    <w:p w14:paraId="1A76FE38"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我国湿地相关的计量标准也主要以蓝碳为主，如《海洋碳汇核算方法》</w:t>
      </w:r>
      <w:bookmarkStart w:id="1" w:name="OLE_LINK2"/>
      <w:r>
        <w:rPr>
          <w:rFonts w:ascii="Times New Roman" w:eastAsia="仿宋_GB2312" w:hAnsi="Times New Roman" w:cs="Times New Roman"/>
          <w:smallCaps/>
          <w:sz w:val="28"/>
          <w:szCs w:val="21"/>
        </w:rPr>
        <w:t>《蓝碳生态系统碳汇计量监测技术规程》</w:t>
      </w:r>
      <w:bookmarkEnd w:id="1"/>
      <w:r>
        <w:rPr>
          <w:rFonts w:ascii="Times New Roman" w:eastAsia="仿宋_GB2312" w:hAnsi="Times New Roman" w:cs="Times New Roman"/>
          <w:smallCaps/>
          <w:sz w:val="28"/>
          <w:szCs w:val="21"/>
        </w:rPr>
        <w:t>《海洋碳汇核算指南》等。地方上，山西、包头、广东等地相继发布《</w:t>
      </w:r>
      <w:bookmarkStart w:id="2" w:name="OLE_LINK4"/>
      <w:r>
        <w:rPr>
          <w:rFonts w:ascii="Times New Roman" w:eastAsia="仿宋_GB2312" w:hAnsi="Times New Roman" w:cs="Times New Roman"/>
          <w:smallCaps/>
          <w:sz w:val="28"/>
          <w:szCs w:val="21"/>
        </w:rPr>
        <w:t>森林草原湿地碳汇计量指南</w:t>
      </w:r>
      <w:bookmarkEnd w:id="2"/>
      <w:r>
        <w:rPr>
          <w:rFonts w:ascii="Times New Roman" w:eastAsia="仿宋_GB2312" w:hAnsi="Times New Roman" w:cs="Times New Roman"/>
          <w:smallCaps/>
          <w:sz w:val="28"/>
          <w:szCs w:val="21"/>
        </w:rPr>
        <w:t>》《</w:t>
      </w:r>
      <w:bookmarkStart w:id="3" w:name="OLE_LINK3"/>
      <w:r>
        <w:rPr>
          <w:rFonts w:ascii="Times New Roman" w:eastAsia="仿宋_GB2312" w:hAnsi="Times New Roman" w:cs="Times New Roman"/>
          <w:smallCaps/>
          <w:sz w:val="28"/>
          <w:szCs w:val="21"/>
        </w:rPr>
        <w:t>湿地植被碳汇调查与监测技术规程</w:t>
      </w:r>
      <w:bookmarkEnd w:id="3"/>
      <w:r>
        <w:rPr>
          <w:rFonts w:ascii="Times New Roman" w:eastAsia="仿宋_GB2312" w:hAnsi="Times New Roman" w:cs="Times New Roman"/>
          <w:smallCaps/>
          <w:sz w:val="28"/>
          <w:szCs w:val="21"/>
        </w:rPr>
        <w:t>》《</w:t>
      </w:r>
      <w:bookmarkStart w:id="4" w:name="OLE_LINK5"/>
      <w:r>
        <w:rPr>
          <w:rFonts w:ascii="Times New Roman" w:eastAsia="仿宋_GB2312" w:hAnsi="Times New Roman" w:cs="Times New Roman"/>
          <w:smallCaps/>
          <w:sz w:val="28"/>
          <w:szCs w:val="21"/>
        </w:rPr>
        <w:t>滨海湿地生态系统固碳量评估技术规程</w:t>
      </w:r>
      <w:bookmarkEnd w:id="4"/>
      <w:r>
        <w:rPr>
          <w:rFonts w:ascii="Times New Roman" w:eastAsia="仿宋_GB2312" w:hAnsi="Times New Roman" w:cs="Times New Roman"/>
          <w:smallCaps/>
          <w:sz w:val="28"/>
          <w:szCs w:val="21"/>
        </w:rPr>
        <w:t>》等碳汇监测计量标准。</w:t>
      </w:r>
    </w:p>
    <w:p w14:paraId="62037BDD"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总体来看，当前国际湿地碳汇计量体系以蓝碳为核心，聚焦于红树林、盐沼与海草床，其方法与参数体系难以直接适用于水文过程、植被类型和碳循环机制复杂的内陆淡水湿地。国内已发布的相关标准规范主要涉及森林、草原及滨海湿地，尚未形成针对内陆淡水湿地的系统性计量标准，存在技术路径不统一、适配性不足、区域间成果难以比对等问题。</w:t>
      </w:r>
    </w:p>
    <w:p w14:paraId="132578EE"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湖北作为湿地大省，拥有全国最大的江河湖库复合淡水湿地生态</w:t>
      </w:r>
      <w:r>
        <w:rPr>
          <w:rFonts w:ascii="Times New Roman" w:eastAsia="仿宋_GB2312" w:hAnsi="Times New Roman" w:cs="Times New Roman"/>
          <w:smallCaps/>
          <w:sz w:val="28"/>
          <w:szCs w:val="21"/>
        </w:rPr>
        <w:lastRenderedPageBreak/>
        <w:t>系统。全省湿地面积</w:t>
      </w:r>
      <w:r>
        <w:rPr>
          <w:rFonts w:ascii="Times New Roman" w:eastAsia="仿宋_GB2312" w:hAnsi="Times New Roman" w:cs="Times New Roman"/>
          <w:smallCaps/>
          <w:sz w:val="28"/>
          <w:szCs w:val="21"/>
        </w:rPr>
        <w:t>174.69</w:t>
      </w:r>
      <w:r>
        <w:rPr>
          <w:rFonts w:ascii="Times New Roman" w:eastAsia="仿宋_GB2312" w:hAnsi="Times New Roman" w:cs="Times New Roman"/>
          <w:smallCaps/>
          <w:sz w:val="28"/>
          <w:szCs w:val="21"/>
        </w:rPr>
        <w:t>万公顷，占国土面积的</w:t>
      </w:r>
      <w:r>
        <w:rPr>
          <w:rFonts w:ascii="Times New Roman" w:eastAsia="仿宋_GB2312" w:hAnsi="Times New Roman" w:cs="Times New Roman"/>
          <w:smallCaps/>
          <w:sz w:val="28"/>
          <w:szCs w:val="21"/>
        </w:rPr>
        <w:t>9.4%</w:t>
      </w:r>
      <w:r>
        <w:rPr>
          <w:rFonts w:ascii="Times New Roman" w:eastAsia="仿宋_GB2312" w:hAnsi="Times New Roman" w:cs="Times New Roman"/>
          <w:smallCaps/>
          <w:sz w:val="28"/>
          <w:szCs w:val="21"/>
        </w:rPr>
        <w:t>。目前，全省尚未形成一个认同度高、权威性强的湿地核算计量规程。这不仅影响湿地碳汇科学、准确的评估，也制约了湿地碳汇交易的市场化运作。</w:t>
      </w:r>
    </w:p>
    <w:p w14:paraId="48F86D09"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在此背景下，制定《内陆淡水湿地碳汇计量规程》具有明确的科学价值与现实必要性。规程将填补在内陆淡水湿地碳汇计量标准上的空白，为内陆淡水湿地碳汇的精准计量提供统一、规范的技术依据。</w:t>
      </w:r>
    </w:p>
    <w:p w14:paraId="572848FC" w14:textId="77777777" w:rsidR="00323581" w:rsidRDefault="00000000">
      <w:pPr>
        <w:numPr>
          <w:ilvl w:val="0"/>
          <w:numId w:val="1"/>
        </w:numPr>
        <w:jc w:val="left"/>
        <w:outlineLvl w:val="0"/>
        <w:rPr>
          <w:rFonts w:ascii="Times New Roman" w:eastAsia="黑体" w:hAnsi="Times New Roman" w:cs="Times New Roman"/>
          <w:sz w:val="28"/>
          <w:szCs w:val="28"/>
        </w:rPr>
      </w:pPr>
      <w:r>
        <w:rPr>
          <w:rFonts w:ascii="Times New Roman" w:eastAsia="黑体" w:hAnsi="Times New Roman" w:cs="Times New Roman"/>
          <w:sz w:val="28"/>
          <w:szCs w:val="28"/>
        </w:rPr>
        <w:t>主要技术依据及原则</w:t>
      </w:r>
    </w:p>
    <w:p w14:paraId="3F84C589" w14:textId="77777777" w:rsidR="00323581" w:rsidRDefault="00000000">
      <w:pPr>
        <w:spacing w:line="360" w:lineRule="auto"/>
        <w:ind w:firstLineChars="200" w:firstLine="560"/>
        <w:rPr>
          <w:rFonts w:ascii="Times New Roman" w:eastAsia="楷体_GB2312" w:hAnsi="Times New Roman" w:cs="Times New Roman"/>
          <w:smallCaps/>
          <w:sz w:val="28"/>
          <w:szCs w:val="21"/>
        </w:rPr>
      </w:pPr>
      <w:r>
        <w:rPr>
          <w:rFonts w:ascii="Times New Roman" w:eastAsia="楷体_GB2312" w:hAnsi="Times New Roman" w:cs="Times New Roman"/>
          <w:smallCaps/>
          <w:sz w:val="28"/>
          <w:szCs w:val="21"/>
        </w:rPr>
        <w:t>（一）编制依据</w:t>
      </w:r>
    </w:p>
    <w:p w14:paraId="639AF860" w14:textId="77777777" w:rsidR="00323581"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规程编写工作严格按照《中华人民共和国计量法》《国家计量技术规范管理办法》《湖北省地方计量技术规范管理办法》等法律法规和《国家计量检定规程编写规则》《国家计量校准规范编写规则》等标准规范开展。</w:t>
      </w:r>
    </w:p>
    <w:p w14:paraId="4B377263"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规程编写过程中参考了</w:t>
      </w:r>
      <w:r>
        <w:rPr>
          <w:rFonts w:ascii="Times New Roman" w:eastAsia="仿宋_GB2312" w:hAnsi="Times New Roman" w:cs="Times New Roman"/>
          <w:smallCaps/>
          <w:sz w:val="28"/>
          <w:szCs w:val="21"/>
        </w:rPr>
        <w:t>LY/T 3253</w:t>
      </w:r>
      <w:r>
        <w:rPr>
          <w:rFonts w:ascii="Times New Roman" w:eastAsia="仿宋_GB2312" w:hAnsi="Times New Roman" w:cs="Times New Roman"/>
          <w:smallCaps/>
          <w:sz w:val="28"/>
          <w:szCs w:val="21"/>
        </w:rPr>
        <w:t>《林业碳汇计量监测术语》、</w:t>
      </w:r>
      <w:r>
        <w:rPr>
          <w:rFonts w:ascii="Times New Roman" w:eastAsia="仿宋_GB2312" w:hAnsi="Times New Roman" w:cs="Times New Roman"/>
          <w:smallCaps/>
          <w:sz w:val="28"/>
          <w:szCs w:val="21"/>
        </w:rPr>
        <w:t>LY/T 3330</w:t>
      </w:r>
      <w:r>
        <w:rPr>
          <w:rFonts w:ascii="Times New Roman" w:eastAsia="仿宋_GB2312" w:hAnsi="Times New Roman" w:cs="Times New Roman"/>
          <w:smallCaps/>
          <w:sz w:val="28"/>
          <w:szCs w:val="21"/>
        </w:rPr>
        <w:t>《森林土壤碳储量调查技术规程》、</w:t>
      </w:r>
      <w:r>
        <w:rPr>
          <w:rFonts w:ascii="Times New Roman" w:eastAsia="仿宋_GB2312" w:hAnsi="Times New Roman" w:cs="Times New Roman"/>
          <w:smallCaps/>
          <w:sz w:val="28"/>
          <w:szCs w:val="21"/>
        </w:rPr>
        <w:t>NY/T 1121.4</w:t>
      </w:r>
      <w:r>
        <w:rPr>
          <w:rFonts w:ascii="Times New Roman" w:eastAsia="仿宋_GB2312" w:hAnsi="Times New Roman" w:cs="Times New Roman"/>
          <w:smallCaps/>
          <w:sz w:val="28"/>
          <w:szCs w:val="21"/>
        </w:rPr>
        <w:t>《土壤检测</w:t>
      </w:r>
      <w:r>
        <w:rPr>
          <w:rFonts w:ascii="Times New Roman" w:eastAsia="仿宋_GB2312" w:hAnsi="Times New Roman" w:cs="Times New Roman"/>
          <w:smallCaps/>
          <w:sz w:val="28"/>
          <w:szCs w:val="21"/>
        </w:rPr>
        <w:t xml:space="preserve"> </w:t>
      </w: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4</w:t>
      </w:r>
      <w:r>
        <w:rPr>
          <w:rFonts w:ascii="Times New Roman" w:eastAsia="仿宋_GB2312" w:hAnsi="Times New Roman" w:cs="Times New Roman"/>
          <w:smallCaps/>
          <w:sz w:val="28"/>
          <w:szCs w:val="21"/>
        </w:rPr>
        <w:t>部分：土壤容重的测定》、</w:t>
      </w:r>
      <w:r>
        <w:rPr>
          <w:rFonts w:ascii="Times New Roman" w:eastAsia="仿宋_GB2312" w:hAnsi="Times New Roman" w:cs="Times New Roman"/>
          <w:smallCaps/>
          <w:sz w:val="28"/>
          <w:szCs w:val="21"/>
        </w:rPr>
        <w:t>HJ 493</w:t>
      </w:r>
      <w:r>
        <w:rPr>
          <w:rFonts w:ascii="Times New Roman" w:eastAsia="仿宋_GB2312" w:hAnsi="Times New Roman" w:cs="Times New Roman"/>
          <w:smallCaps/>
          <w:sz w:val="28"/>
          <w:szCs w:val="21"/>
        </w:rPr>
        <w:t>《水质采样</w:t>
      </w:r>
      <w:r>
        <w:rPr>
          <w:rFonts w:ascii="Times New Roman" w:eastAsia="仿宋_GB2312" w:hAnsi="Times New Roman" w:cs="Times New Roman"/>
          <w:smallCaps/>
          <w:sz w:val="28"/>
          <w:szCs w:val="21"/>
        </w:rPr>
        <w:t xml:space="preserve"> </w:t>
      </w:r>
      <w:r>
        <w:rPr>
          <w:rFonts w:ascii="Times New Roman" w:eastAsia="仿宋_GB2312" w:hAnsi="Times New Roman" w:cs="Times New Roman"/>
          <w:smallCaps/>
          <w:sz w:val="28"/>
          <w:szCs w:val="21"/>
        </w:rPr>
        <w:t>样品的保存和管理技术规定》、</w:t>
      </w:r>
      <w:r>
        <w:rPr>
          <w:rFonts w:ascii="Times New Roman" w:eastAsia="仿宋_GB2312" w:hAnsi="Times New Roman" w:cs="Times New Roman"/>
          <w:smallCaps/>
          <w:sz w:val="28"/>
          <w:szCs w:val="21"/>
        </w:rPr>
        <w:t>HJ 494</w:t>
      </w:r>
      <w:r>
        <w:rPr>
          <w:rFonts w:ascii="Times New Roman" w:eastAsia="仿宋_GB2312" w:hAnsi="Times New Roman" w:cs="Times New Roman"/>
          <w:smallCaps/>
          <w:sz w:val="28"/>
          <w:szCs w:val="21"/>
        </w:rPr>
        <w:t>《水质</w:t>
      </w:r>
      <w:r>
        <w:rPr>
          <w:rFonts w:ascii="Times New Roman" w:eastAsia="仿宋_GB2312" w:hAnsi="Times New Roman" w:cs="Times New Roman"/>
          <w:smallCaps/>
          <w:sz w:val="28"/>
          <w:szCs w:val="21"/>
        </w:rPr>
        <w:t xml:space="preserve"> </w:t>
      </w:r>
      <w:r>
        <w:rPr>
          <w:rFonts w:ascii="Times New Roman" w:eastAsia="仿宋_GB2312" w:hAnsi="Times New Roman" w:cs="Times New Roman"/>
          <w:smallCaps/>
          <w:sz w:val="28"/>
          <w:szCs w:val="21"/>
        </w:rPr>
        <w:t>采样技术指导》、</w:t>
      </w:r>
      <w:r>
        <w:rPr>
          <w:rFonts w:ascii="Times New Roman" w:eastAsia="仿宋_GB2312" w:hAnsi="Times New Roman" w:cs="Times New Roman"/>
          <w:smallCaps/>
          <w:sz w:val="28"/>
          <w:szCs w:val="21"/>
        </w:rPr>
        <w:t>HJ 501</w:t>
      </w:r>
      <w:r>
        <w:rPr>
          <w:rFonts w:ascii="Times New Roman" w:eastAsia="仿宋_GB2312" w:hAnsi="Times New Roman" w:cs="Times New Roman"/>
          <w:smallCaps/>
          <w:sz w:val="28"/>
          <w:szCs w:val="21"/>
        </w:rPr>
        <w:t>《水质</w:t>
      </w:r>
      <w:r>
        <w:rPr>
          <w:rFonts w:ascii="Times New Roman" w:eastAsia="仿宋_GB2312" w:hAnsi="Times New Roman" w:cs="Times New Roman"/>
          <w:smallCaps/>
          <w:sz w:val="28"/>
          <w:szCs w:val="21"/>
        </w:rPr>
        <w:t xml:space="preserve"> </w:t>
      </w:r>
      <w:r>
        <w:rPr>
          <w:rFonts w:ascii="Times New Roman" w:eastAsia="仿宋_GB2312" w:hAnsi="Times New Roman" w:cs="Times New Roman"/>
          <w:smallCaps/>
          <w:sz w:val="28"/>
          <w:szCs w:val="21"/>
        </w:rPr>
        <w:t>总有机碳的测定</w:t>
      </w:r>
      <w:r>
        <w:rPr>
          <w:rFonts w:ascii="Times New Roman" w:eastAsia="仿宋_GB2312" w:hAnsi="Times New Roman" w:cs="Times New Roman"/>
          <w:smallCaps/>
          <w:sz w:val="28"/>
          <w:szCs w:val="21"/>
        </w:rPr>
        <w:t xml:space="preserve"> </w:t>
      </w:r>
      <w:r>
        <w:rPr>
          <w:rFonts w:ascii="Times New Roman" w:eastAsia="仿宋_GB2312" w:hAnsi="Times New Roman" w:cs="Times New Roman"/>
          <w:smallCaps/>
          <w:sz w:val="28"/>
          <w:szCs w:val="21"/>
        </w:rPr>
        <w:t>燃烧氧化</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非分散红外吸收法》、</w:t>
      </w:r>
      <w:r>
        <w:rPr>
          <w:rFonts w:ascii="Times New Roman" w:eastAsia="仿宋_GB2312" w:hAnsi="Times New Roman" w:cs="Times New Roman"/>
          <w:smallCaps/>
          <w:sz w:val="28"/>
          <w:szCs w:val="21"/>
        </w:rPr>
        <w:t>HJ 658</w:t>
      </w:r>
      <w:r>
        <w:rPr>
          <w:rFonts w:ascii="Times New Roman" w:eastAsia="仿宋_GB2312" w:hAnsi="Times New Roman" w:cs="Times New Roman"/>
          <w:smallCaps/>
          <w:sz w:val="28"/>
          <w:szCs w:val="21"/>
        </w:rPr>
        <w:t>《土壤有机碳的测定</w:t>
      </w:r>
      <w:r>
        <w:rPr>
          <w:rFonts w:ascii="Times New Roman" w:eastAsia="仿宋_GB2312" w:hAnsi="Times New Roman" w:cs="Times New Roman"/>
          <w:smallCaps/>
          <w:sz w:val="28"/>
          <w:szCs w:val="21"/>
        </w:rPr>
        <w:t xml:space="preserve"> </w:t>
      </w:r>
      <w:r>
        <w:rPr>
          <w:rFonts w:ascii="Times New Roman" w:eastAsia="仿宋_GB2312" w:hAnsi="Times New Roman" w:cs="Times New Roman"/>
          <w:smallCaps/>
          <w:sz w:val="28"/>
          <w:szCs w:val="21"/>
        </w:rPr>
        <w:t>燃烧氧化</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滴定法》、</w:t>
      </w:r>
      <w:r>
        <w:rPr>
          <w:rFonts w:ascii="Times New Roman" w:eastAsia="仿宋_GB2312" w:hAnsi="Times New Roman" w:cs="Times New Roman"/>
          <w:smallCaps/>
          <w:sz w:val="28"/>
          <w:szCs w:val="21"/>
        </w:rPr>
        <w:t>HJ 710.12</w:t>
      </w:r>
      <w:r>
        <w:rPr>
          <w:rFonts w:ascii="Times New Roman" w:eastAsia="仿宋_GB2312" w:hAnsi="Times New Roman" w:cs="Times New Roman"/>
          <w:smallCaps/>
          <w:sz w:val="28"/>
          <w:szCs w:val="21"/>
        </w:rPr>
        <w:t>《生物多样性观测技术导则</w:t>
      </w:r>
      <w:r>
        <w:rPr>
          <w:rFonts w:ascii="Times New Roman" w:eastAsia="仿宋_GB2312" w:hAnsi="Times New Roman" w:cs="Times New Roman"/>
          <w:smallCaps/>
          <w:sz w:val="28"/>
          <w:szCs w:val="21"/>
        </w:rPr>
        <w:t xml:space="preserve"> </w:t>
      </w:r>
      <w:r>
        <w:rPr>
          <w:rFonts w:ascii="Times New Roman" w:eastAsia="仿宋_GB2312" w:hAnsi="Times New Roman" w:cs="Times New Roman"/>
          <w:smallCaps/>
          <w:sz w:val="28"/>
          <w:szCs w:val="21"/>
        </w:rPr>
        <w:t>水生维管植物》、</w:t>
      </w:r>
      <w:r>
        <w:rPr>
          <w:rFonts w:ascii="Times New Roman" w:eastAsia="仿宋_GB2312" w:hAnsi="Times New Roman" w:cs="Times New Roman"/>
          <w:smallCaps/>
          <w:sz w:val="28"/>
          <w:szCs w:val="21"/>
        </w:rPr>
        <w:t>HJ 1169</w:t>
      </w:r>
      <w:r>
        <w:rPr>
          <w:rFonts w:ascii="Times New Roman" w:eastAsia="仿宋_GB2312" w:hAnsi="Times New Roman" w:cs="Times New Roman"/>
          <w:smallCaps/>
          <w:sz w:val="28"/>
          <w:szCs w:val="21"/>
        </w:rPr>
        <w:t>《全国生态状况调查评估技术规范</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湿地生态系统野外观测》的部分内容。</w:t>
      </w:r>
    </w:p>
    <w:p w14:paraId="292C0EF1" w14:textId="77777777" w:rsidR="00323581" w:rsidRDefault="00000000">
      <w:pPr>
        <w:spacing w:line="360" w:lineRule="auto"/>
        <w:ind w:firstLineChars="200" w:firstLine="560"/>
        <w:rPr>
          <w:rFonts w:ascii="Times New Roman" w:eastAsia="楷体_GB2312" w:hAnsi="Times New Roman" w:cs="Times New Roman"/>
          <w:smallCaps/>
          <w:sz w:val="28"/>
          <w:szCs w:val="21"/>
        </w:rPr>
      </w:pPr>
      <w:r>
        <w:rPr>
          <w:rFonts w:ascii="Times New Roman" w:eastAsia="楷体_GB2312" w:hAnsi="Times New Roman" w:cs="Times New Roman"/>
          <w:smallCaps/>
          <w:sz w:val="28"/>
          <w:szCs w:val="21"/>
        </w:rPr>
        <w:t>（二）编制原则</w:t>
      </w:r>
    </w:p>
    <w:p w14:paraId="1A45F843" w14:textId="77777777" w:rsidR="00323581"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 xml:space="preserve">1. </w:t>
      </w:r>
      <w:r>
        <w:rPr>
          <w:rFonts w:ascii="Times New Roman" w:eastAsia="仿宋_GB2312" w:hAnsi="Times New Roman" w:cs="Times New Roman"/>
          <w:smallCaps/>
          <w:sz w:val="28"/>
          <w:szCs w:val="21"/>
        </w:rPr>
        <w:t>科学性</w:t>
      </w:r>
    </w:p>
    <w:p w14:paraId="0951EB79" w14:textId="77777777" w:rsidR="00323581"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lastRenderedPageBreak/>
        <w:t>立足于内陆淡水湿地生态系统的结构与功能特征，系统分析湿地各碳库的碳循环机制与固碳机理，结合我国湿地碳汇计量工作的技术基础与发展现状，构建逻辑严密、层次清晰的碳汇计量方法。</w:t>
      </w:r>
    </w:p>
    <w:p w14:paraId="26C33F39" w14:textId="77777777" w:rsidR="00323581"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 xml:space="preserve">2. </w:t>
      </w:r>
      <w:r>
        <w:rPr>
          <w:rFonts w:ascii="Times New Roman" w:eastAsia="仿宋_GB2312" w:hAnsi="Times New Roman" w:cs="Times New Roman"/>
          <w:smallCaps/>
          <w:sz w:val="28"/>
          <w:szCs w:val="21"/>
        </w:rPr>
        <w:t>准确性</w:t>
      </w:r>
    </w:p>
    <w:p w14:paraId="2B5D4560" w14:textId="77777777" w:rsidR="00323581"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在样地布设及管理、样品采集、实验室分析、碳汇计算等关键环节，广泛参考国家、行业及地方相关技术标准与规范，确保计量方法科学严谨、数据来源清晰可溯、逻辑链条完整一致，保障计量结果的准确性与可核证性。</w:t>
      </w:r>
    </w:p>
    <w:p w14:paraId="343B3B48" w14:textId="77777777" w:rsidR="00323581"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 xml:space="preserve">3. </w:t>
      </w:r>
      <w:r>
        <w:rPr>
          <w:rFonts w:ascii="Times New Roman" w:eastAsia="仿宋_GB2312" w:hAnsi="Times New Roman" w:cs="Times New Roman"/>
          <w:smallCaps/>
          <w:sz w:val="28"/>
          <w:szCs w:val="21"/>
        </w:rPr>
        <w:t>可操作性</w:t>
      </w:r>
    </w:p>
    <w:p w14:paraId="5F5E16F7" w14:textId="77777777" w:rsidR="00323581"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在保证计量结果科学准确的基础上，采用技术成熟、成本适中、数据可获取的采样与监测方法，便于在实际工作中推广应用，有效降低碳汇计量的技术门槛与实施成本。</w:t>
      </w:r>
    </w:p>
    <w:p w14:paraId="37A3EB75" w14:textId="77777777" w:rsidR="00323581"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 xml:space="preserve">4. </w:t>
      </w:r>
      <w:r>
        <w:rPr>
          <w:rFonts w:ascii="Times New Roman" w:eastAsia="仿宋_GB2312" w:hAnsi="Times New Roman" w:cs="Times New Roman"/>
          <w:smallCaps/>
          <w:sz w:val="28"/>
          <w:szCs w:val="21"/>
        </w:rPr>
        <w:t>前瞻性</w:t>
      </w:r>
    </w:p>
    <w:p w14:paraId="268CA64C" w14:textId="77777777" w:rsidR="00323581"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面向我国</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双碳</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战略目标下巩固提升生态系统碳汇能力的长期要求，与碳汇核算标准的研究趋势，确保本规程在计量方法与应用场景上具备长期适用性，也为未来湿地碳汇计量领域的发展提供支撑。</w:t>
      </w:r>
    </w:p>
    <w:p w14:paraId="3D90313D" w14:textId="77777777" w:rsidR="00323581" w:rsidRDefault="00000000">
      <w:pPr>
        <w:numPr>
          <w:ilvl w:val="0"/>
          <w:numId w:val="1"/>
        </w:numPr>
        <w:outlineLvl w:val="0"/>
        <w:rPr>
          <w:rFonts w:ascii="Times New Roman" w:eastAsia="黑体" w:hAnsi="Times New Roman" w:cs="Times New Roman"/>
          <w:sz w:val="28"/>
          <w:szCs w:val="28"/>
        </w:rPr>
      </w:pPr>
      <w:r>
        <w:rPr>
          <w:rFonts w:ascii="Times New Roman" w:eastAsia="黑体" w:hAnsi="Times New Roman" w:cs="Times New Roman"/>
          <w:smallCaps/>
          <w:sz w:val="28"/>
          <w:szCs w:val="28"/>
        </w:rPr>
        <w:t>编制过程</w:t>
      </w:r>
    </w:p>
    <w:p w14:paraId="5B900F92" w14:textId="77777777" w:rsidR="00323581" w:rsidRDefault="00000000">
      <w:pPr>
        <w:spacing w:line="360" w:lineRule="auto"/>
        <w:ind w:firstLineChars="200" w:firstLine="560"/>
        <w:rPr>
          <w:rFonts w:ascii="Times New Roman" w:eastAsia="仿宋_GB2312" w:hAnsi="Times New Roman" w:cs="Times New Roman"/>
          <w:bCs/>
          <w:sz w:val="28"/>
          <w:szCs w:val="21"/>
        </w:rPr>
      </w:pPr>
      <w:r>
        <w:rPr>
          <w:rFonts w:ascii="Times New Roman" w:eastAsia="楷体_GB2312" w:hAnsi="Times New Roman" w:cs="Times New Roman"/>
          <w:sz w:val="28"/>
          <w:szCs w:val="21"/>
          <w:lang w:val="zh-CN"/>
        </w:rPr>
        <w:t>1.2024</w:t>
      </w:r>
      <w:r>
        <w:rPr>
          <w:rFonts w:ascii="Times New Roman" w:eastAsia="楷体_GB2312" w:hAnsi="Times New Roman" w:cs="Times New Roman"/>
          <w:sz w:val="28"/>
          <w:szCs w:val="21"/>
          <w:lang w:val="zh-CN"/>
        </w:rPr>
        <w:t>年</w:t>
      </w:r>
      <w:r>
        <w:rPr>
          <w:rFonts w:ascii="Times New Roman" w:eastAsia="楷体_GB2312" w:hAnsi="Times New Roman" w:cs="Times New Roman"/>
          <w:sz w:val="28"/>
          <w:szCs w:val="21"/>
          <w:lang w:val="zh-CN"/>
        </w:rPr>
        <w:t>12</w:t>
      </w:r>
      <w:r>
        <w:rPr>
          <w:rFonts w:ascii="Times New Roman" w:eastAsia="楷体_GB2312" w:hAnsi="Times New Roman" w:cs="Times New Roman"/>
          <w:sz w:val="28"/>
          <w:szCs w:val="21"/>
          <w:lang w:val="zh-CN"/>
        </w:rPr>
        <w:t>月，提</w:t>
      </w:r>
      <w:r>
        <w:rPr>
          <w:rFonts w:ascii="Times New Roman" w:eastAsia="仿宋_GB2312" w:hAnsi="Times New Roman" w:cs="Times New Roman"/>
          <w:bCs/>
          <w:sz w:val="28"/>
          <w:szCs w:val="21"/>
        </w:rPr>
        <w:t>交计量技术规范申报书；</w:t>
      </w:r>
    </w:p>
    <w:p w14:paraId="68B94027" w14:textId="77777777" w:rsidR="00323581" w:rsidRDefault="00000000">
      <w:pPr>
        <w:spacing w:line="360" w:lineRule="auto"/>
        <w:ind w:firstLineChars="200" w:firstLine="560"/>
        <w:rPr>
          <w:rFonts w:ascii="Times New Roman" w:eastAsia="仿宋_GB2312" w:hAnsi="Times New Roman" w:cs="Times New Roman"/>
          <w:bCs/>
          <w:sz w:val="28"/>
          <w:szCs w:val="21"/>
        </w:rPr>
      </w:pPr>
      <w:r>
        <w:rPr>
          <w:rFonts w:ascii="Times New Roman" w:eastAsia="楷体_GB2312" w:hAnsi="Times New Roman" w:cs="Times New Roman"/>
          <w:sz w:val="28"/>
          <w:szCs w:val="21"/>
          <w:lang w:val="zh-CN"/>
        </w:rPr>
        <w:t>2.2025</w:t>
      </w:r>
      <w:r>
        <w:rPr>
          <w:rFonts w:ascii="Times New Roman" w:eastAsia="楷体_GB2312" w:hAnsi="Times New Roman" w:cs="Times New Roman"/>
          <w:sz w:val="28"/>
          <w:szCs w:val="21"/>
          <w:lang w:val="zh-CN"/>
        </w:rPr>
        <w:t>年</w:t>
      </w:r>
      <w:r>
        <w:rPr>
          <w:rFonts w:ascii="Times New Roman" w:eastAsia="楷体_GB2312" w:hAnsi="Times New Roman" w:cs="Times New Roman"/>
          <w:sz w:val="28"/>
          <w:szCs w:val="21"/>
          <w:lang w:val="zh-CN"/>
        </w:rPr>
        <w:t>3</w:t>
      </w:r>
      <w:r>
        <w:rPr>
          <w:rFonts w:ascii="Times New Roman" w:eastAsia="楷体_GB2312" w:hAnsi="Times New Roman" w:cs="Times New Roman"/>
          <w:sz w:val="28"/>
          <w:szCs w:val="21"/>
          <w:lang w:val="zh-CN"/>
        </w:rPr>
        <w:t>月，</w:t>
      </w:r>
      <w:r>
        <w:rPr>
          <w:rFonts w:ascii="Times New Roman" w:eastAsia="仿宋_GB2312" w:hAnsi="Times New Roman" w:cs="Times New Roman"/>
          <w:bCs/>
          <w:sz w:val="28"/>
          <w:szCs w:val="21"/>
        </w:rPr>
        <w:t>经省市场监管局评审同意立项，组建编制工作组；</w:t>
      </w:r>
    </w:p>
    <w:p w14:paraId="4B71B60F" w14:textId="77777777" w:rsidR="00323581" w:rsidRDefault="00000000">
      <w:pPr>
        <w:spacing w:line="360" w:lineRule="auto"/>
        <w:ind w:firstLineChars="200" w:firstLine="560"/>
        <w:rPr>
          <w:rFonts w:ascii="Times New Roman" w:eastAsia="仿宋_GB2312" w:hAnsi="Times New Roman" w:cs="Times New Roman"/>
          <w:bCs/>
          <w:sz w:val="28"/>
          <w:szCs w:val="21"/>
        </w:rPr>
      </w:pPr>
      <w:r>
        <w:rPr>
          <w:rFonts w:ascii="Times New Roman" w:eastAsia="楷体_GB2312" w:hAnsi="Times New Roman" w:cs="Times New Roman"/>
          <w:sz w:val="28"/>
          <w:szCs w:val="21"/>
          <w:lang w:val="zh-CN"/>
        </w:rPr>
        <w:t>3.2025</w:t>
      </w:r>
      <w:r>
        <w:rPr>
          <w:rFonts w:ascii="Times New Roman" w:eastAsia="楷体_GB2312" w:hAnsi="Times New Roman" w:cs="Times New Roman"/>
          <w:sz w:val="28"/>
          <w:szCs w:val="21"/>
          <w:lang w:val="zh-CN"/>
        </w:rPr>
        <w:t>年</w:t>
      </w:r>
      <w:r>
        <w:rPr>
          <w:rFonts w:ascii="Times New Roman" w:eastAsia="楷体_GB2312" w:hAnsi="Times New Roman" w:cs="Times New Roman"/>
          <w:sz w:val="28"/>
          <w:szCs w:val="21"/>
          <w:lang w:val="zh-CN"/>
        </w:rPr>
        <w:t>5</w:t>
      </w:r>
      <w:r>
        <w:rPr>
          <w:rFonts w:ascii="Times New Roman" w:eastAsia="楷体_GB2312" w:hAnsi="Times New Roman" w:cs="Times New Roman"/>
          <w:sz w:val="28"/>
          <w:szCs w:val="21"/>
          <w:lang w:val="zh-CN"/>
        </w:rPr>
        <w:t>月，</w:t>
      </w:r>
      <w:r>
        <w:rPr>
          <w:rFonts w:ascii="Times New Roman" w:eastAsia="仿宋_GB2312" w:hAnsi="Times New Roman" w:cs="Times New Roman"/>
          <w:bCs/>
          <w:sz w:val="28"/>
          <w:szCs w:val="21"/>
        </w:rPr>
        <w:t>调研国内外与湿地碳汇计量相关的现行标准、方法学文件与技术规程，汇总典型碳汇计量方法、相关计量参数与适用场景，梳理湿地类型划分原则、碳库构成与核算参数体系，提炼适用</w:t>
      </w:r>
      <w:r>
        <w:rPr>
          <w:rFonts w:ascii="Times New Roman" w:eastAsia="仿宋_GB2312" w:hAnsi="Times New Roman" w:cs="Times New Roman"/>
          <w:bCs/>
          <w:sz w:val="28"/>
          <w:szCs w:val="21"/>
        </w:rPr>
        <w:lastRenderedPageBreak/>
        <w:t>于内陆淡水湿地的计量核心要素；</w:t>
      </w:r>
    </w:p>
    <w:p w14:paraId="042B82C5" w14:textId="2FD0EF6D" w:rsidR="00323581" w:rsidRDefault="00000000">
      <w:pPr>
        <w:spacing w:line="360" w:lineRule="auto"/>
        <w:ind w:firstLineChars="200" w:firstLine="560"/>
        <w:rPr>
          <w:rFonts w:ascii="Times New Roman" w:eastAsia="仿宋_GB2312" w:hAnsi="Times New Roman" w:cs="Times New Roman"/>
          <w:sz w:val="28"/>
          <w:szCs w:val="21"/>
          <w:lang w:val="zh-CN"/>
        </w:rPr>
      </w:pPr>
      <w:r>
        <w:rPr>
          <w:rFonts w:ascii="Times New Roman" w:eastAsia="楷体_GB2312" w:hAnsi="Times New Roman" w:cs="Times New Roman"/>
          <w:sz w:val="28"/>
          <w:szCs w:val="21"/>
          <w:lang w:val="zh-CN"/>
        </w:rPr>
        <w:t>4.2025</w:t>
      </w:r>
      <w:r>
        <w:rPr>
          <w:rFonts w:ascii="Times New Roman" w:eastAsia="楷体_GB2312" w:hAnsi="Times New Roman" w:cs="Times New Roman"/>
          <w:sz w:val="28"/>
          <w:szCs w:val="21"/>
          <w:lang w:val="zh-CN"/>
        </w:rPr>
        <w:t>年</w:t>
      </w:r>
      <w:r>
        <w:rPr>
          <w:rFonts w:ascii="Times New Roman" w:eastAsia="楷体_GB2312" w:hAnsi="Times New Roman" w:cs="Times New Roman"/>
          <w:sz w:val="28"/>
          <w:szCs w:val="21"/>
          <w:lang w:val="zh-CN"/>
        </w:rPr>
        <w:t>10</w:t>
      </w:r>
      <w:r w:rsidR="004B6505">
        <w:rPr>
          <w:rFonts w:ascii="Times New Roman" w:eastAsia="楷体_GB2312" w:hAnsi="Times New Roman" w:cs="Times New Roman" w:hint="eastAsia"/>
          <w:sz w:val="28"/>
          <w:szCs w:val="21"/>
          <w:lang w:val="zh-CN"/>
        </w:rPr>
        <w:t>-12</w:t>
      </w:r>
      <w:r>
        <w:rPr>
          <w:rFonts w:ascii="Times New Roman" w:eastAsia="楷体_GB2312" w:hAnsi="Times New Roman" w:cs="Times New Roman"/>
          <w:sz w:val="28"/>
          <w:szCs w:val="21"/>
          <w:lang w:val="zh-CN"/>
        </w:rPr>
        <w:t>月，</w:t>
      </w:r>
      <w:r>
        <w:rPr>
          <w:rFonts w:ascii="Times New Roman" w:eastAsia="仿宋_GB2312" w:hAnsi="Times New Roman" w:cs="Times New Roman"/>
          <w:sz w:val="28"/>
          <w:szCs w:val="21"/>
          <w:lang w:val="zh-CN"/>
        </w:rPr>
        <w:t>在前期研究的基础上编制内陆淡水湿地碳汇计量规程，通过内部讨论和专家咨询等方式对规程进行修改完善，形成征求意见稿</w:t>
      </w:r>
      <w:r w:rsidR="004B6505">
        <w:rPr>
          <w:rFonts w:ascii="Times New Roman" w:eastAsia="仿宋_GB2312" w:hAnsi="Times New Roman" w:cs="Times New Roman" w:hint="eastAsia"/>
          <w:sz w:val="28"/>
          <w:szCs w:val="21"/>
          <w:lang w:val="zh-CN"/>
        </w:rPr>
        <w:t>。</w:t>
      </w:r>
    </w:p>
    <w:p w14:paraId="08E081AA" w14:textId="77777777" w:rsidR="00323581" w:rsidRDefault="00000000">
      <w:pPr>
        <w:tabs>
          <w:tab w:val="left" w:pos="2505"/>
        </w:tabs>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五、主要内容</w:t>
      </w:r>
    </w:p>
    <w:p w14:paraId="00C09F10"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本规程共</w:t>
      </w:r>
      <w:r>
        <w:rPr>
          <w:rFonts w:ascii="Times New Roman" w:eastAsia="仿宋_GB2312" w:hAnsi="Times New Roman" w:cs="Times New Roman"/>
          <w:smallCaps/>
          <w:sz w:val="28"/>
          <w:szCs w:val="21"/>
        </w:rPr>
        <w:t>10</w:t>
      </w:r>
      <w:r>
        <w:rPr>
          <w:rFonts w:ascii="Times New Roman" w:eastAsia="仿宋_GB2312" w:hAnsi="Times New Roman" w:cs="Times New Roman"/>
          <w:smallCaps/>
          <w:sz w:val="28"/>
          <w:szCs w:val="21"/>
        </w:rPr>
        <w:t>章和附录。</w:t>
      </w:r>
    </w:p>
    <w:p w14:paraId="78A2D983"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1</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范围</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，明确了本规程的适用范围。</w:t>
      </w:r>
    </w:p>
    <w:p w14:paraId="1A7F7958"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2</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引用文件</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，列出了本规程引用的国家标准、行业标准及地方标准等规范性文件。</w:t>
      </w:r>
    </w:p>
    <w:p w14:paraId="275EE2A3"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3</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术语和定义</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，对本规程涉及的核心概念进行了规定，为统一理解、避免计量过程中的歧义奠定了基础。</w:t>
      </w:r>
    </w:p>
    <w:p w14:paraId="7E294D7E"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4</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计量原理</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，规定了计量工作中需要监测的碳库类型，为监测活动提供了选择清单，并阐明了调查监测与计量工作的基本原理。</w:t>
      </w:r>
    </w:p>
    <w:p w14:paraId="118EE984"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5</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计量对象</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，明确了各碳库的计量对象及其含义，为计算参数选取提供依据。</w:t>
      </w:r>
    </w:p>
    <w:p w14:paraId="71BAD659"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6</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计量要求</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，规定了计量实施过程中对计量环境、计量器具和计量人员的基本要求，其中对涉及量值获取的计量器具明确了主要性能指标。</w:t>
      </w:r>
    </w:p>
    <w:p w14:paraId="75181513"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7</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调查监测要求</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，阐述了数据获取的标准化流程。本章详细规定了调查分区划分与样地布设原则，明确湿地植被、水生植物、湿地土壤、湿地沉积物及湿地水体的样品采集与测定分析方法，并对</w:t>
      </w:r>
      <w:r>
        <w:rPr>
          <w:rFonts w:ascii="Times New Roman" w:eastAsia="仿宋_GB2312" w:hAnsi="Times New Roman" w:cs="Times New Roman"/>
          <w:smallCaps/>
          <w:sz w:val="28"/>
          <w:szCs w:val="21"/>
        </w:rPr>
        <w:lastRenderedPageBreak/>
        <w:t>全过程数据质量控制做出要求。</w:t>
      </w:r>
    </w:p>
    <w:p w14:paraId="6A8E2BD2"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8</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计量方法</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提供了从基础数据到碳汇量的完整计算流程。本章分碳库给出了从样地碳密度、调查分区碳密度、调查区域总碳储量的逐级推算公式，并最终通过储量变化法给出了碳汇量的计算方法，构成了本规程的技术内核。</w:t>
      </w:r>
    </w:p>
    <w:p w14:paraId="55578B9B"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9</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不确定度评定方法</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，规定了内陆淡水湿地总碳储量与碳汇量的不确定度评定思路与计算方法。</w:t>
      </w:r>
    </w:p>
    <w:p w14:paraId="6B3403B5"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10</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计量结果表达</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规定了计量工作的最终输出形式。本章要求建立系统、可追溯的监测数据库，并编制格式规范、数据翔实的计量报告，以确保核算成果的科学性、准确性和可比性，为碳汇管理、交易与决策提供标准化成果载体。</w:t>
      </w:r>
    </w:p>
    <w:p w14:paraId="4EEE03AF" w14:textId="77777777" w:rsidR="00323581"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附录</w:t>
      </w:r>
      <w:r>
        <w:rPr>
          <w:rFonts w:ascii="Times New Roman" w:eastAsia="仿宋_GB2312" w:hAnsi="Times New Roman" w:cs="Times New Roman"/>
          <w:smallCaps/>
          <w:sz w:val="28"/>
          <w:szCs w:val="21"/>
        </w:rPr>
        <w:t>A</w:t>
      </w:r>
      <w:r>
        <w:rPr>
          <w:rFonts w:ascii="Times New Roman" w:eastAsia="仿宋_GB2312" w:hAnsi="Times New Roman" w:cs="Times New Roman"/>
          <w:smallCaps/>
          <w:sz w:val="28"/>
          <w:szCs w:val="21"/>
        </w:rPr>
        <w:t>至</w:t>
      </w:r>
      <w:r>
        <w:rPr>
          <w:rFonts w:ascii="Times New Roman" w:eastAsia="仿宋_GB2312" w:hAnsi="Times New Roman" w:cs="Times New Roman"/>
          <w:smallCaps/>
          <w:sz w:val="28"/>
          <w:szCs w:val="21"/>
        </w:rPr>
        <w:t>G</w:t>
      </w:r>
      <w:r>
        <w:rPr>
          <w:rFonts w:ascii="Times New Roman" w:eastAsia="仿宋_GB2312" w:hAnsi="Times New Roman" w:cs="Times New Roman"/>
          <w:smallCaps/>
          <w:sz w:val="28"/>
          <w:szCs w:val="21"/>
        </w:rPr>
        <w:t>为资料性附录。附录</w:t>
      </w:r>
      <w:r>
        <w:rPr>
          <w:rFonts w:ascii="Times New Roman" w:eastAsia="仿宋_GB2312" w:hAnsi="Times New Roman" w:cs="Times New Roman"/>
          <w:smallCaps/>
          <w:sz w:val="28"/>
          <w:szCs w:val="21"/>
        </w:rPr>
        <w:t>A</w:t>
      </w:r>
      <w:r>
        <w:rPr>
          <w:rFonts w:ascii="Times New Roman" w:eastAsia="仿宋_GB2312" w:hAnsi="Times New Roman" w:cs="Times New Roman"/>
          <w:smallCaps/>
          <w:sz w:val="28"/>
          <w:szCs w:val="21"/>
        </w:rPr>
        <w:t>明确了监测时间与频率要求；附录</w:t>
      </w:r>
      <w:r>
        <w:rPr>
          <w:rFonts w:ascii="Times New Roman" w:eastAsia="仿宋_GB2312" w:hAnsi="Times New Roman" w:cs="Times New Roman"/>
          <w:smallCaps/>
          <w:sz w:val="28"/>
          <w:szCs w:val="21"/>
        </w:rPr>
        <w:t>B</w:t>
      </w:r>
      <w:r>
        <w:rPr>
          <w:rFonts w:ascii="Times New Roman" w:eastAsia="仿宋_GB2312" w:hAnsi="Times New Roman" w:cs="Times New Roman"/>
          <w:smallCaps/>
          <w:sz w:val="28"/>
          <w:szCs w:val="21"/>
        </w:rPr>
        <w:t>至</w:t>
      </w:r>
      <w:r>
        <w:rPr>
          <w:rFonts w:ascii="Times New Roman" w:eastAsia="仿宋_GB2312" w:hAnsi="Times New Roman" w:cs="Times New Roman"/>
          <w:smallCaps/>
          <w:sz w:val="28"/>
          <w:szCs w:val="21"/>
        </w:rPr>
        <w:t>F</w:t>
      </w:r>
      <w:r>
        <w:rPr>
          <w:rFonts w:ascii="Times New Roman" w:eastAsia="仿宋_GB2312" w:hAnsi="Times New Roman" w:cs="Times New Roman"/>
          <w:smallCaps/>
          <w:sz w:val="28"/>
          <w:szCs w:val="21"/>
        </w:rPr>
        <w:t>提供了湿地植被、水生植物、湿地土壤、湿地沉积物和湿地水体采样监测的记录表格式，旨在规范野外操作与数据记录，提升实际工作的效率与一致性；附录</w:t>
      </w:r>
      <w:r>
        <w:rPr>
          <w:rFonts w:ascii="Times New Roman" w:eastAsia="仿宋_GB2312" w:hAnsi="Times New Roman" w:cs="Times New Roman"/>
          <w:smallCaps/>
          <w:sz w:val="28"/>
          <w:szCs w:val="21"/>
        </w:rPr>
        <w:t>G</w:t>
      </w:r>
      <w:r>
        <w:rPr>
          <w:rFonts w:ascii="Times New Roman" w:eastAsia="仿宋_GB2312" w:hAnsi="Times New Roman" w:cs="Times New Roman"/>
          <w:smallCaps/>
          <w:sz w:val="28"/>
          <w:szCs w:val="21"/>
        </w:rPr>
        <w:t>给出了不确定度的评定示例。</w:t>
      </w:r>
    </w:p>
    <w:p w14:paraId="5749501F" w14:textId="77777777" w:rsidR="00323581" w:rsidRDefault="00000000">
      <w:pPr>
        <w:tabs>
          <w:tab w:val="left" w:pos="2505"/>
        </w:tabs>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六、规程起草的要点及说明</w:t>
      </w:r>
    </w:p>
    <w:p w14:paraId="32939878" w14:textId="77777777" w:rsidR="00323581" w:rsidRDefault="00000000">
      <w:pPr>
        <w:tabs>
          <w:tab w:val="left" w:pos="2505"/>
        </w:tabs>
        <w:spacing w:line="360" w:lineRule="auto"/>
        <w:ind w:firstLineChars="200" w:firstLine="560"/>
        <w:rPr>
          <w:rFonts w:ascii="Times New Roman" w:eastAsia="楷体_GB2312" w:hAnsi="Times New Roman" w:cs="Times New Roman"/>
          <w:smallCaps/>
          <w:sz w:val="28"/>
          <w:szCs w:val="21"/>
          <w:lang w:val="zh-CN"/>
        </w:rPr>
      </w:pPr>
      <w:r>
        <w:rPr>
          <w:rFonts w:ascii="Times New Roman" w:eastAsia="楷体_GB2312" w:hAnsi="Times New Roman" w:cs="Times New Roman"/>
          <w:smallCaps/>
          <w:sz w:val="28"/>
          <w:szCs w:val="21"/>
          <w:lang w:val="zh-CN"/>
        </w:rPr>
        <w:t>（一）适用范围</w:t>
      </w:r>
    </w:p>
    <w:p w14:paraId="634CF9F3" w14:textId="77777777" w:rsidR="00323581" w:rsidRDefault="00000000">
      <w:pPr>
        <w:spacing w:line="360" w:lineRule="auto"/>
        <w:ind w:firstLineChars="200" w:firstLine="560"/>
        <w:rPr>
          <w:rFonts w:ascii="Times New Roman" w:eastAsia="仿宋_GB2312" w:hAnsi="Times New Roman" w:cs="Times New Roman"/>
          <w:smallCaps/>
          <w:sz w:val="28"/>
          <w:szCs w:val="21"/>
          <w:lang w:val="zh-CN"/>
        </w:rPr>
      </w:pPr>
      <w:r>
        <w:rPr>
          <w:rFonts w:ascii="Times New Roman" w:eastAsia="仿宋_GB2312" w:hAnsi="Times New Roman" w:cs="Times New Roman"/>
          <w:smallCaps/>
          <w:sz w:val="28"/>
          <w:szCs w:val="21"/>
          <w:lang w:val="zh-CN"/>
        </w:rPr>
        <w:t>本规程适用于内陆淡水湿地碳储量与碳汇量的计量工作。</w:t>
      </w:r>
    </w:p>
    <w:p w14:paraId="1B1DCEA0" w14:textId="77777777" w:rsidR="00323581" w:rsidRDefault="00000000">
      <w:pPr>
        <w:spacing w:line="360" w:lineRule="auto"/>
        <w:ind w:firstLineChars="200" w:firstLine="560"/>
        <w:rPr>
          <w:rFonts w:ascii="Times New Roman" w:eastAsia="楷体_GB2312" w:hAnsi="Times New Roman" w:cs="Times New Roman"/>
          <w:bCs/>
          <w:sz w:val="28"/>
          <w:szCs w:val="21"/>
        </w:rPr>
      </w:pPr>
      <w:r>
        <w:rPr>
          <w:rFonts w:ascii="Times New Roman" w:eastAsia="楷体_GB2312" w:hAnsi="Times New Roman" w:cs="Times New Roman"/>
          <w:bCs/>
          <w:sz w:val="28"/>
          <w:szCs w:val="21"/>
        </w:rPr>
        <w:t>（二）碳库选择</w:t>
      </w:r>
    </w:p>
    <w:p w14:paraId="090A8F72" w14:textId="77777777" w:rsidR="00323581" w:rsidRDefault="00000000">
      <w:pPr>
        <w:tabs>
          <w:tab w:val="left" w:pos="2505"/>
        </w:tabs>
        <w:spacing w:line="360" w:lineRule="auto"/>
        <w:ind w:firstLineChars="200" w:firstLine="560"/>
        <w:rPr>
          <w:rFonts w:ascii="Times New Roman" w:eastAsia="仿宋_GB2312" w:hAnsi="Times New Roman" w:cs="Times New Roman"/>
          <w:smallCaps/>
          <w:sz w:val="28"/>
          <w:szCs w:val="21"/>
          <w:lang w:val="zh-CN"/>
        </w:rPr>
      </w:pPr>
      <w:r>
        <w:rPr>
          <w:rFonts w:ascii="Times New Roman" w:eastAsia="仿宋_GB2312" w:hAnsi="Times New Roman" w:cs="Times New Roman"/>
          <w:smallCaps/>
          <w:sz w:val="28"/>
          <w:szCs w:val="21"/>
          <w:lang w:val="zh-CN"/>
        </w:rPr>
        <w:t>根据内陆淡水湿地的生态特点，最终确定了湿地植被、水生植物、土壤、沉积物和水体</w:t>
      </w:r>
      <w:r>
        <w:rPr>
          <w:rFonts w:ascii="Times New Roman" w:eastAsia="仿宋_GB2312" w:hAnsi="Times New Roman" w:cs="Times New Roman"/>
          <w:smallCaps/>
          <w:sz w:val="28"/>
          <w:szCs w:val="21"/>
          <w:lang w:val="zh-CN"/>
        </w:rPr>
        <w:t>5</w:t>
      </w:r>
      <w:r>
        <w:rPr>
          <w:rFonts w:ascii="Times New Roman" w:eastAsia="仿宋_GB2312" w:hAnsi="Times New Roman" w:cs="Times New Roman"/>
          <w:smallCaps/>
          <w:sz w:val="28"/>
          <w:szCs w:val="21"/>
          <w:lang w:val="zh-CN"/>
        </w:rPr>
        <w:t>个碳库进行计量。湿地植被和水生植物通过光合作用直接固定二氧化碳，是活跃的碳输入端；土壤和沉积物由于淹</w:t>
      </w:r>
      <w:r>
        <w:rPr>
          <w:rFonts w:ascii="Times New Roman" w:eastAsia="仿宋_GB2312" w:hAnsi="Times New Roman" w:cs="Times New Roman"/>
          <w:smallCaps/>
          <w:sz w:val="28"/>
          <w:szCs w:val="21"/>
          <w:lang w:val="zh-CN"/>
        </w:rPr>
        <w:lastRenderedPageBreak/>
        <w:t>水厌氧环境，有机质分解缓慢，是稳定而巨大的长期碳储存库；水体溶解并传输碳，是碳循环的重要媒介。因此，对上述碳库进行系统计量，才能完整反映内陆淡水湿地的碳汇功能。在植被碳库中，考虑到枯死木和枯落物在内陆淡水湿地中稳定性差，且易与土壤碳库混淆，出于保守性原则暂不纳入计量范围。</w:t>
      </w:r>
    </w:p>
    <w:p w14:paraId="43137BCC" w14:textId="77777777" w:rsidR="00323581" w:rsidRDefault="00000000">
      <w:pPr>
        <w:tabs>
          <w:tab w:val="left" w:pos="2505"/>
        </w:tabs>
        <w:spacing w:line="360" w:lineRule="auto"/>
        <w:ind w:firstLineChars="200" w:firstLine="560"/>
        <w:rPr>
          <w:rFonts w:ascii="Times New Roman" w:eastAsia="楷体_GB2312" w:hAnsi="Times New Roman" w:cs="Times New Roman"/>
          <w:smallCaps/>
          <w:sz w:val="28"/>
          <w:szCs w:val="21"/>
          <w:lang w:val="zh-CN"/>
        </w:rPr>
      </w:pPr>
      <w:r>
        <w:rPr>
          <w:rFonts w:ascii="Times New Roman" w:eastAsia="楷体_GB2312" w:hAnsi="Times New Roman" w:cs="Times New Roman"/>
          <w:smallCaps/>
          <w:sz w:val="28"/>
          <w:szCs w:val="21"/>
          <w:lang w:val="zh-CN"/>
        </w:rPr>
        <w:t>（三）调查监测方法</w:t>
      </w:r>
    </w:p>
    <w:p w14:paraId="26EB9AFE" w14:textId="77777777" w:rsidR="00323581" w:rsidRDefault="00000000">
      <w:pPr>
        <w:tabs>
          <w:tab w:val="left" w:pos="2505"/>
        </w:tabs>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针对各碳库的特性，规定了相应的调查监测方法。湿地植被与水生植物监测选择在生长旺盛期进行，以捕捉其年度最大生物量；水体监测要求覆盖枯、丰、平三个水期，以反映水文波动对碳含量的影响；土壤和沉积物样品进行分层采集，是因为其有机碳密度随深度变化显著，分层采集和计量能更精确地计算其碳储量。</w:t>
      </w:r>
    </w:p>
    <w:p w14:paraId="496CD43D" w14:textId="77777777" w:rsidR="00323581" w:rsidRDefault="00000000">
      <w:pPr>
        <w:tabs>
          <w:tab w:val="left" w:pos="2505"/>
        </w:tabs>
        <w:spacing w:line="360" w:lineRule="auto"/>
        <w:ind w:firstLineChars="200" w:firstLine="560"/>
        <w:rPr>
          <w:rFonts w:ascii="Times New Roman" w:eastAsia="楷体_GB2312" w:hAnsi="Times New Roman" w:cs="Times New Roman"/>
          <w:smallCaps/>
          <w:sz w:val="28"/>
          <w:szCs w:val="21"/>
          <w:lang w:val="zh-CN"/>
        </w:rPr>
      </w:pPr>
      <w:r>
        <w:rPr>
          <w:rFonts w:ascii="Times New Roman" w:eastAsia="楷体_GB2312" w:hAnsi="Times New Roman" w:cs="Times New Roman"/>
          <w:smallCaps/>
          <w:sz w:val="28"/>
          <w:szCs w:val="21"/>
          <w:lang w:val="zh-CN"/>
        </w:rPr>
        <w:t>（四）计量方法</w:t>
      </w:r>
    </w:p>
    <w:p w14:paraId="6F170A77"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计量工作遵循</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样地</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调查分区</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调查区域</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的逐级汇总逻辑。因为湿地生态系统具有高度的空间异质性，直接外推会引入较大误差。通过在不同生境类型的分区内设置代表性样地，先获取点位数据，再在分区层面进行平均，最后以面积为权重汇总至区域总量，可以有效控制空间变异带来的不确定性，确保计量结果的科学性和可靠性。碳汇量采用储量变化法计算，该方法通过测定两个时间点碳储量的差值来表征碳汇能力，逻辑清晰。</w:t>
      </w:r>
    </w:p>
    <w:p w14:paraId="4D9A2F28" w14:textId="77777777" w:rsidR="00323581"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七、采用国际标准和国外先进标准的程度</w:t>
      </w:r>
      <w:r>
        <w:rPr>
          <w:rFonts w:ascii="Times New Roman" w:eastAsia="黑体" w:hAnsi="Times New Roman" w:cs="Times New Roman"/>
          <w:smallCaps/>
          <w:sz w:val="28"/>
          <w:szCs w:val="28"/>
        </w:rPr>
        <w:t xml:space="preserve"> </w:t>
      </w:r>
    </w:p>
    <w:p w14:paraId="2F0FF184"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本标准不涉及对现有国际标准和国外先进标准的采用。</w:t>
      </w:r>
    </w:p>
    <w:p w14:paraId="11B12295" w14:textId="77777777" w:rsidR="00323581"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八、与有关的现行法律、法规和强制性国家标准的关系</w:t>
      </w:r>
    </w:p>
    <w:p w14:paraId="5388687F"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lastRenderedPageBreak/>
        <w:t>本标准与我国的现行法律、法规和强制性标准协调一致，尚未发现本标准与我国有关现行法律、法规和相关强制性标准相冲突。</w:t>
      </w:r>
    </w:p>
    <w:p w14:paraId="331DBD15" w14:textId="77777777" w:rsidR="00323581"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九、重大分歧意见的处理经过和依据</w:t>
      </w:r>
    </w:p>
    <w:p w14:paraId="16EBAC84"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本标准在制定过程中未出现重大分歧意见。</w:t>
      </w:r>
    </w:p>
    <w:p w14:paraId="6A460E48" w14:textId="77777777" w:rsidR="00323581"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十、国家标准作为强制性国家标准或推荐性国家标准的建议</w:t>
      </w:r>
    </w:p>
    <w:p w14:paraId="1C9EC131"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本标准建议作为推荐性标准发布实施。</w:t>
      </w:r>
    </w:p>
    <w:p w14:paraId="116630E5" w14:textId="77777777" w:rsidR="00323581"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十一、贯彻国家标准的要求和措施建议</w:t>
      </w:r>
    </w:p>
    <w:p w14:paraId="186E8E98"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建议本标准与本标准同领域的其他系列标准配套使用。</w:t>
      </w:r>
    </w:p>
    <w:p w14:paraId="6461290B" w14:textId="77777777" w:rsidR="00323581"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十二、废止现行有关标准的建议</w:t>
      </w:r>
    </w:p>
    <w:p w14:paraId="7E70844D"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本标准不涉及对现行标准的废止。</w:t>
      </w:r>
    </w:p>
    <w:p w14:paraId="3D908119" w14:textId="77777777" w:rsidR="00323581"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十三、其他说明</w:t>
      </w:r>
      <w:r>
        <w:rPr>
          <w:rFonts w:ascii="Times New Roman" w:eastAsia="黑体" w:hAnsi="Times New Roman" w:cs="Times New Roman"/>
          <w:smallCaps/>
          <w:sz w:val="28"/>
          <w:szCs w:val="28"/>
        </w:rPr>
        <w:t xml:space="preserve"> </w:t>
      </w:r>
    </w:p>
    <w:p w14:paraId="6BB57120" w14:textId="77777777" w:rsidR="00323581"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无。</w:t>
      </w:r>
    </w:p>
    <w:p w14:paraId="1CC13335" w14:textId="77777777" w:rsidR="00323581" w:rsidRDefault="00000000">
      <w:pPr>
        <w:spacing w:line="360" w:lineRule="auto"/>
        <w:outlineLvl w:val="0"/>
        <w:rPr>
          <w:rFonts w:ascii="Times New Roman" w:eastAsia="黑体" w:hAnsi="Times New Roman" w:cs="Times New Roman"/>
          <w:smallCaps/>
          <w:sz w:val="28"/>
          <w:szCs w:val="28"/>
        </w:rPr>
      </w:pPr>
      <w:bookmarkStart w:id="5" w:name="_Hlk15494942"/>
      <w:r>
        <w:rPr>
          <w:rFonts w:ascii="Times New Roman" w:eastAsia="黑体" w:hAnsi="Times New Roman" w:cs="Times New Roman"/>
          <w:smallCaps/>
          <w:sz w:val="28"/>
          <w:szCs w:val="28"/>
        </w:rPr>
        <w:t>十四、总结</w:t>
      </w:r>
    </w:p>
    <w:p w14:paraId="5CFACE17" w14:textId="77777777" w:rsidR="00323581" w:rsidRDefault="00000000">
      <w:pPr>
        <w:tabs>
          <w:tab w:val="left" w:pos="2505"/>
        </w:tabs>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在本规程的编制过程中，我们系统分析了内陆淡水湿地的生态特征与碳循环过程，明确了其关键碳库构成。针对各碳库的特点，规程提出了相应的调查监测方法与碳储量计量模型，形成了从样地到区域的系统化计算逻辑。为满足实际计量工作的需求，规程详细规定了样地布设、样品采集、实验室分析及数据质量控制的全流程技术要求。因此，本规程计量方法科学合理、技术路线清晰、可操作性强，为内陆淡水湿地碳储量与碳汇量的精准计量提供了技术保障和依据。</w:t>
      </w:r>
      <w:bookmarkEnd w:id="5"/>
    </w:p>
    <w:sectPr w:rsidR="0032358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9A20" w14:textId="77777777" w:rsidR="00F225CD" w:rsidRDefault="00F225CD">
      <w:r>
        <w:separator/>
      </w:r>
    </w:p>
  </w:endnote>
  <w:endnote w:type="continuationSeparator" w:id="0">
    <w:p w14:paraId="066D7255" w14:textId="77777777" w:rsidR="00F225CD" w:rsidRDefault="00F2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114413"/>
      <w:docPartObj>
        <w:docPartGallery w:val="AutoText"/>
      </w:docPartObj>
    </w:sdtPr>
    <w:sdtEndPr>
      <w:rPr>
        <w:rFonts w:ascii="Times New Roman" w:hAnsi="Times New Roman" w:cs="Times New Roman"/>
      </w:rPr>
    </w:sdtEndPr>
    <w:sdtContent>
      <w:p w14:paraId="7760B7B6" w14:textId="77777777" w:rsidR="00323581" w:rsidRDefault="00000000">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4D0F" w14:textId="77777777" w:rsidR="00F225CD" w:rsidRDefault="00F225CD">
      <w:r>
        <w:separator/>
      </w:r>
    </w:p>
  </w:footnote>
  <w:footnote w:type="continuationSeparator" w:id="0">
    <w:p w14:paraId="58F6BC2E" w14:textId="77777777" w:rsidR="00F225CD" w:rsidRDefault="00F22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66C8"/>
    <w:multiLevelType w:val="singleLevel"/>
    <w:tmpl w:val="290B66C8"/>
    <w:lvl w:ilvl="0">
      <w:start w:val="1"/>
      <w:numFmt w:val="chineseCounting"/>
      <w:suff w:val="nothing"/>
      <w:lvlText w:val="%1、"/>
      <w:lvlJc w:val="left"/>
      <w:rPr>
        <w:rFonts w:hint="eastAsia"/>
        <w:lang w:val="en-US"/>
      </w:rPr>
    </w:lvl>
  </w:abstractNum>
  <w:num w:numId="1" w16cid:durableId="190463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UwNTRhNjZlYjE3ZTJlYWRlY2ZhNDdkNmRlMTZmMzQifQ=="/>
  </w:docVars>
  <w:rsids>
    <w:rsidRoot w:val="1CD22296"/>
    <w:rsid w:val="00024A68"/>
    <w:rsid w:val="000272F3"/>
    <w:rsid w:val="0004577C"/>
    <w:rsid w:val="000602C7"/>
    <w:rsid w:val="000612E2"/>
    <w:rsid w:val="000707F8"/>
    <w:rsid w:val="0007418B"/>
    <w:rsid w:val="00074E8B"/>
    <w:rsid w:val="0008238F"/>
    <w:rsid w:val="00091990"/>
    <w:rsid w:val="000929A1"/>
    <w:rsid w:val="000949B7"/>
    <w:rsid w:val="000A0504"/>
    <w:rsid w:val="000D583D"/>
    <w:rsid w:val="000E4833"/>
    <w:rsid w:val="00102F69"/>
    <w:rsid w:val="00123AE5"/>
    <w:rsid w:val="00126477"/>
    <w:rsid w:val="00150EF1"/>
    <w:rsid w:val="00153670"/>
    <w:rsid w:val="00162501"/>
    <w:rsid w:val="001675D2"/>
    <w:rsid w:val="0017213A"/>
    <w:rsid w:val="00186155"/>
    <w:rsid w:val="001872B7"/>
    <w:rsid w:val="00193FA8"/>
    <w:rsid w:val="0019740D"/>
    <w:rsid w:val="001C0AB1"/>
    <w:rsid w:val="001D6CA7"/>
    <w:rsid w:val="001D7083"/>
    <w:rsid w:val="001E6BB9"/>
    <w:rsid w:val="001E6C15"/>
    <w:rsid w:val="001F0C4E"/>
    <w:rsid w:val="00205002"/>
    <w:rsid w:val="0021431F"/>
    <w:rsid w:val="002150B3"/>
    <w:rsid w:val="0022335E"/>
    <w:rsid w:val="00225D7D"/>
    <w:rsid w:val="002422CF"/>
    <w:rsid w:val="00262CD0"/>
    <w:rsid w:val="0026780F"/>
    <w:rsid w:val="00273006"/>
    <w:rsid w:val="00275581"/>
    <w:rsid w:val="002777AF"/>
    <w:rsid w:val="00290CB8"/>
    <w:rsid w:val="002A41AC"/>
    <w:rsid w:val="002A460C"/>
    <w:rsid w:val="002A694E"/>
    <w:rsid w:val="002D4B29"/>
    <w:rsid w:val="002F1D64"/>
    <w:rsid w:val="002F35B2"/>
    <w:rsid w:val="002F5564"/>
    <w:rsid w:val="002F757A"/>
    <w:rsid w:val="00305417"/>
    <w:rsid w:val="0031058C"/>
    <w:rsid w:val="00311167"/>
    <w:rsid w:val="00323581"/>
    <w:rsid w:val="00331EE2"/>
    <w:rsid w:val="0033294D"/>
    <w:rsid w:val="00342CCE"/>
    <w:rsid w:val="00353BD9"/>
    <w:rsid w:val="00355360"/>
    <w:rsid w:val="00361108"/>
    <w:rsid w:val="00365115"/>
    <w:rsid w:val="00365519"/>
    <w:rsid w:val="003B3D67"/>
    <w:rsid w:val="003C6BDF"/>
    <w:rsid w:val="003D39FB"/>
    <w:rsid w:val="003F41C7"/>
    <w:rsid w:val="0041570D"/>
    <w:rsid w:val="004217D2"/>
    <w:rsid w:val="0042332E"/>
    <w:rsid w:val="004338A8"/>
    <w:rsid w:val="0045008A"/>
    <w:rsid w:val="004622B2"/>
    <w:rsid w:val="0046425B"/>
    <w:rsid w:val="00474ED4"/>
    <w:rsid w:val="0048016E"/>
    <w:rsid w:val="00481745"/>
    <w:rsid w:val="00481F43"/>
    <w:rsid w:val="00482E8F"/>
    <w:rsid w:val="004928A7"/>
    <w:rsid w:val="004947B0"/>
    <w:rsid w:val="00496320"/>
    <w:rsid w:val="004B42DD"/>
    <w:rsid w:val="004B6505"/>
    <w:rsid w:val="004C0D8B"/>
    <w:rsid w:val="004E342F"/>
    <w:rsid w:val="004F2CAC"/>
    <w:rsid w:val="004F4E64"/>
    <w:rsid w:val="0051130B"/>
    <w:rsid w:val="005312D7"/>
    <w:rsid w:val="00540793"/>
    <w:rsid w:val="00552607"/>
    <w:rsid w:val="00555CEF"/>
    <w:rsid w:val="00565968"/>
    <w:rsid w:val="0057762A"/>
    <w:rsid w:val="00582CA9"/>
    <w:rsid w:val="00593767"/>
    <w:rsid w:val="005A0623"/>
    <w:rsid w:val="005C5973"/>
    <w:rsid w:val="005D141B"/>
    <w:rsid w:val="005E18EF"/>
    <w:rsid w:val="005E21DA"/>
    <w:rsid w:val="005E4707"/>
    <w:rsid w:val="005E63E7"/>
    <w:rsid w:val="005F5C45"/>
    <w:rsid w:val="005F5F00"/>
    <w:rsid w:val="005F68BC"/>
    <w:rsid w:val="005F6B50"/>
    <w:rsid w:val="005F6F32"/>
    <w:rsid w:val="00604AE4"/>
    <w:rsid w:val="00605D9D"/>
    <w:rsid w:val="006061B3"/>
    <w:rsid w:val="006312FA"/>
    <w:rsid w:val="00631F28"/>
    <w:rsid w:val="006330DD"/>
    <w:rsid w:val="00633361"/>
    <w:rsid w:val="00642C68"/>
    <w:rsid w:val="0065754F"/>
    <w:rsid w:val="00661C04"/>
    <w:rsid w:val="0067553B"/>
    <w:rsid w:val="00687B26"/>
    <w:rsid w:val="00691A8B"/>
    <w:rsid w:val="0069561B"/>
    <w:rsid w:val="00695B9F"/>
    <w:rsid w:val="006B5964"/>
    <w:rsid w:val="006C0E00"/>
    <w:rsid w:val="006C5BDA"/>
    <w:rsid w:val="006C6C17"/>
    <w:rsid w:val="006D0FC6"/>
    <w:rsid w:val="006D37EF"/>
    <w:rsid w:val="006D3DEB"/>
    <w:rsid w:val="006D3EDE"/>
    <w:rsid w:val="006E1172"/>
    <w:rsid w:val="006F21AA"/>
    <w:rsid w:val="006F74FA"/>
    <w:rsid w:val="00710BC3"/>
    <w:rsid w:val="0071265E"/>
    <w:rsid w:val="007221D3"/>
    <w:rsid w:val="00732EEB"/>
    <w:rsid w:val="00756B52"/>
    <w:rsid w:val="00763485"/>
    <w:rsid w:val="0076374E"/>
    <w:rsid w:val="00777423"/>
    <w:rsid w:val="007A44E0"/>
    <w:rsid w:val="007A6AFB"/>
    <w:rsid w:val="007B0502"/>
    <w:rsid w:val="007B3CB3"/>
    <w:rsid w:val="007B6069"/>
    <w:rsid w:val="007E23FF"/>
    <w:rsid w:val="007F4F20"/>
    <w:rsid w:val="00801917"/>
    <w:rsid w:val="0080597D"/>
    <w:rsid w:val="00823940"/>
    <w:rsid w:val="00840402"/>
    <w:rsid w:val="008507F9"/>
    <w:rsid w:val="00857ACF"/>
    <w:rsid w:val="00862367"/>
    <w:rsid w:val="008641B5"/>
    <w:rsid w:val="00882AD2"/>
    <w:rsid w:val="00893409"/>
    <w:rsid w:val="008A222B"/>
    <w:rsid w:val="008A22EE"/>
    <w:rsid w:val="008A7217"/>
    <w:rsid w:val="008F2953"/>
    <w:rsid w:val="008F4D90"/>
    <w:rsid w:val="00902960"/>
    <w:rsid w:val="00917A1D"/>
    <w:rsid w:val="00937225"/>
    <w:rsid w:val="00942C70"/>
    <w:rsid w:val="00967AAA"/>
    <w:rsid w:val="00994625"/>
    <w:rsid w:val="009A128D"/>
    <w:rsid w:val="009C3086"/>
    <w:rsid w:val="009E6C5A"/>
    <w:rsid w:val="00A2748B"/>
    <w:rsid w:val="00A34C8E"/>
    <w:rsid w:val="00A462F1"/>
    <w:rsid w:val="00A56F0C"/>
    <w:rsid w:val="00A60EA7"/>
    <w:rsid w:val="00A63D6F"/>
    <w:rsid w:val="00A65FD9"/>
    <w:rsid w:val="00A729E0"/>
    <w:rsid w:val="00A87F14"/>
    <w:rsid w:val="00A87F6A"/>
    <w:rsid w:val="00AA1865"/>
    <w:rsid w:val="00AB11FD"/>
    <w:rsid w:val="00AB73B0"/>
    <w:rsid w:val="00AD257F"/>
    <w:rsid w:val="00AD3FEE"/>
    <w:rsid w:val="00AE0FB5"/>
    <w:rsid w:val="00AE311D"/>
    <w:rsid w:val="00AE5901"/>
    <w:rsid w:val="00AE5CE8"/>
    <w:rsid w:val="00B20768"/>
    <w:rsid w:val="00B350E3"/>
    <w:rsid w:val="00B41512"/>
    <w:rsid w:val="00B418F8"/>
    <w:rsid w:val="00B5027B"/>
    <w:rsid w:val="00B52682"/>
    <w:rsid w:val="00B556B2"/>
    <w:rsid w:val="00B80B46"/>
    <w:rsid w:val="00B87CE5"/>
    <w:rsid w:val="00B90F4A"/>
    <w:rsid w:val="00BB12DE"/>
    <w:rsid w:val="00BC2D5D"/>
    <w:rsid w:val="00BD0391"/>
    <w:rsid w:val="00BD2EC9"/>
    <w:rsid w:val="00BE0313"/>
    <w:rsid w:val="00BE0A4D"/>
    <w:rsid w:val="00BF1FB0"/>
    <w:rsid w:val="00BF7095"/>
    <w:rsid w:val="00C02E2F"/>
    <w:rsid w:val="00C16020"/>
    <w:rsid w:val="00C31E78"/>
    <w:rsid w:val="00C47175"/>
    <w:rsid w:val="00C5453B"/>
    <w:rsid w:val="00C626FB"/>
    <w:rsid w:val="00C641AF"/>
    <w:rsid w:val="00C81774"/>
    <w:rsid w:val="00C95412"/>
    <w:rsid w:val="00CB5BB1"/>
    <w:rsid w:val="00CE1F80"/>
    <w:rsid w:val="00CE265E"/>
    <w:rsid w:val="00D02840"/>
    <w:rsid w:val="00D12340"/>
    <w:rsid w:val="00D432EF"/>
    <w:rsid w:val="00D46855"/>
    <w:rsid w:val="00D469DD"/>
    <w:rsid w:val="00D62703"/>
    <w:rsid w:val="00D63A94"/>
    <w:rsid w:val="00D725FE"/>
    <w:rsid w:val="00D75451"/>
    <w:rsid w:val="00D7627D"/>
    <w:rsid w:val="00DD65F6"/>
    <w:rsid w:val="00DE0E4F"/>
    <w:rsid w:val="00E04CF1"/>
    <w:rsid w:val="00E10290"/>
    <w:rsid w:val="00E14233"/>
    <w:rsid w:val="00E3587B"/>
    <w:rsid w:val="00E42EFD"/>
    <w:rsid w:val="00E54260"/>
    <w:rsid w:val="00E5467A"/>
    <w:rsid w:val="00E8711D"/>
    <w:rsid w:val="00E90120"/>
    <w:rsid w:val="00E91F44"/>
    <w:rsid w:val="00E96DDA"/>
    <w:rsid w:val="00EC0792"/>
    <w:rsid w:val="00EC4D8C"/>
    <w:rsid w:val="00ED544E"/>
    <w:rsid w:val="00ED68E0"/>
    <w:rsid w:val="00EF542C"/>
    <w:rsid w:val="00F225CD"/>
    <w:rsid w:val="00F332D9"/>
    <w:rsid w:val="00F33FAE"/>
    <w:rsid w:val="00F51C0D"/>
    <w:rsid w:val="00F603ED"/>
    <w:rsid w:val="00F949BE"/>
    <w:rsid w:val="00FC2F84"/>
    <w:rsid w:val="00FD5E60"/>
    <w:rsid w:val="00FE6EC6"/>
    <w:rsid w:val="01F01917"/>
    <w:rsid w:val="06480C3F"/>
    <w:rsid w:val="0B902BCE"/>
    <w:rsid w:val="10BC4836"/>
    <w:rsid w:val="194D03E1"/>
    <w:rsid w:val="1CD22296"/>
    <w:rsid w:val="1E9909E6"/>
    <w:rsid w:val="1ED55E66"/>
    <w:rsid w:val="24E740FA"/>
    <w:rsid w:val="284E5C89"/>
    <w:rsid w:val="2D3E394F"/>
    <w:rsid w:val="34DD37A8"/>
    <w:rsid w:val="36405F4A"/>
    <w:rsid w:val="38247E46"/>
    <w:rsid w:val="3A2D4485"/>
    <w:rsid w:val="3BD85BB5"/>
    <w:rsid w:val="3F0F3DD1"/>
    <w:rsid w:val="3F8467A0"/>
    <w:rsid w:val="402C4EB5"/>
    <w:rsid w:val="499253C1"/>
    <w:rsid w:val="49AD174F"/>
    <w:rsid w:val="4C13061B"/>
    <w:rsid w:val="508D1E56"/>
    <w:rsid w:val="52D94D72"/>
    <w:rsid w:val="5C9C7991"/>
    <w:rsid w:val="5E8E09A2"/>
    <w:rsid w:val="5EC70330"/>
    <w:rsid w:val="65F97878"/>
    <w:rsid w:val="6B60624B"/>
    <w:rsid w:val="7134794E"/>
    <w:rsid w:val="753D25EA"/>
    <w:rsid w:val="7BB90266"/>
    <w:rsid w:val="7EEA2B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92A18"/>
  <w15:docId w15:val="{D3310FF3-F13C-4D8A-B1D1-2B8F8B4F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a9"/>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Pr>
      <w:sz w:val="21"/>
      <w:szCs w:val="21"/>
    </w:rPr>
  </w:style>
  <w:style w:type="paragraph" w:styleId="ac">
    <w:name w:val="List Paragraph"/>
    <w:basedOn w:val="a"/>
    <w:uiPriority w:val="99"/>
    <w:unhideWhenUsed/>
    <w:qFormat/>
    <w:pPr>
      <w:ind w:firstLineChars="200" w:firstLine="420"/>
    </w:pPr>
  </w:style>
  <w:style w:type="paragraph" w:customStyle="1" w:styleId="10">
    <w:name w:val="修订1"/>
    <w:hidden/>
    <w:uiPriority w:val="99"/>
    <w:unhideWhenUsed/>
    <w:rPr>
      <w:rFonts w:asciiTheme="minorHAnsi" w:eastAsiaTheme="minorEastAsia" w:hAnsiTheme="minorHAnsi" w:cstheme="minorBidi"/>
      <w:kern w:val="2"/>
      <w:sz w:val="21"/>
      <w:szCs w:val="24"/>
    </w:r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customStyle="1" w:styleId="a9">
    <w:name w:val="批注主题 字符"/>
    <w:basedOn w:val="a4"/>
    <w:link w:val="a8"/>
    <w:qFormat/>
    <w:rPr>
      <w:rFonts w:asciiTheme="minorHAnsi" w:eastAsiaTheme="minorEastAsia" w:hAnsiTheme="minorHAnsi" w:cstheme="minorBidi"/>
      <w:b/>
      <w:bCs/>
      <w:kern w:val="2"/>
      <w:sz w:val="21"/>
      <w:szCs w:val="24"/>
    </w:rPr>
  </w:style>
  <w:style w:type="character" w:customStyle="1" w:styleId="a6">
    <w:name w:val="页脚 字符"/>
    <w:basedOn w:val="a0"/>
    <w:link w:val="a5"/>
    <w:uiPriority w:val="99"/>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9191-013A-4090-9EF9-1F378E52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9</Pages>
  <Words>2126</Words>
  <Characters>2190</Characters>
  <Application>Microsoft Office Word</Application>
  <DocSecurity>0</DocSecurity>
  <Lines>109</Lines>
  <Paragraphs>71</Paragraphs>
  <ScaleCrop>false</ScaleCrop>
  <Company>Microsoft</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Dana Liu</cp:lastModifiedBy>
  <cp:revision>131</cp:revision>
  <cp:lastPrinted>2025-10-20T05:12:00Z</cp:lastPrinted>
  <dcterms:created xsi:type="dcterms:W3CDTF">2025-10-17T01:02:00Z</dcterms:created>
  <dcterms:modified xsi:type="dcterms:W3CDTF">2026-01-26T03:21:00Z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059366554B074115987E517994BBDF3F</vt:lpwstr>
  </property>
  <property fmtid="{D5CDD505-2E9C-101B-9397-08002B2CF9AE}" pid="4" name="KSOTemplateDocerSaveRecord">
    <vt:lpwstr>eyJoZGlkIjoiOTMzMjVhMmM4ZGFkYzBkZTA2ZDFmYzA5N2U2YjNhN2IiLCJ1c2VySWQiOiI0Mjg2OTIxMDQifQ==</vt:lpwstr>
  </property>
</Properties>
</file>